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35" w:rsidRPr="00067F09" w:rsidRDefault="00454698" w:rsidP="00B04D35">
      <w:pPr>
        <w:shd w:val="clear" w:color="auto" w:fill="FFFFFF"/>
        <w:spacing w:after="105" w:line="240" w:lineRule="auto"/>
        <w:ind w:firstLine="3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7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04D35" w:rsidRPr="00067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тчёт о результатах деятельности финансового управления </w:t>
      </w:r>
      <w:r w:rsidRPr="00067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Start"/>
      <w:r w:rsidRPr="00067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.А</w:t>
      </w:r>
      <w:proofErr w:type="gramEnd"/>
      <w:r w:rsidRPr="00067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нжеро-Судженска</w:t>
      </w:r>
      <w:r w:rsidR="00B04D35" w:rsidRPr="00067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2018 год</w:t>
      </w:r>
    </w:p>
    <w:p w:rsidR="006C6353" w:rsidRPr="00067F09" w:rsidRDefault="00B04D35" w:rsidP="00B04D35">
      <w:pPr>
        <w:shd w:val="clear" w:color="auto" w:fill="FFFFFF"/>
        <w:spacing w:after="105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</w:t>
      </w:r>
      <w:r w:rsidR="00454698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Анжеро-Судженск</w:t>
      </w:r>
      <w:proofErr w:type="gramStart"/>
      <w:r w:rsidR="00454698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финансовое управление) </w:t>
      </w:r>
      <w:r w:rsidR="006C6353" w:rsidRPr="00067F09">
        <w:rPr>
          <w:rFonts w:ascii="Times New Roman" w:hAnsi="Times New Roman" w:cs="Times New Roman"/>
          <w:sz w:val="28"/>
          <w:szCs w:val="28"/>
        </w:rPr>
        <w:t>территориальным органом главного финансового управления Кемеровской области, обеспечивающим разработку и реализацию единой финансовой политики и осуществляющим на основе Соглашения техническое обеспечение бюджетного процесса на территории города Анжеро-Судженска.</w:t>
      </w:r>
    </w:p>
    <w:p w:rsidR="006C6353" w:rsidRPr="00067F09" w:rsidRDefault="006C6353" w:rsidP="00B04D35">
      <w:pPr>
        <w:shd w:val="clear" w:color="auto" w:fill="FFFFFF"/>
        <w:spacing w:after="105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067F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7F09">
        <w:rPr>
          <w:rFonts w:ascii="Times New Roman" w:hAnsi="Times New Roman" w:cs="Times New Roman"/>
          <w:sz w:val="28"/>
          <w:szCs w:val="28"/>
        </w:rPr>
        <w:t>В своей деятельности управление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Кемеровской области, законами Кемеровской области, постановлениями и распоряжениями Губернатора Кемеровской области, Коллегии Администрации Кемеровской области, Уставом муниципального образования, нормативными правовыми актами органов местного самоуправления, другими нормативными правовыми актами, в том числе приказами, указаниями и инструкциями Министерства финансов</w:t>
      </w:r>
      <w:proofErr w:type="gramEnd"/>
      <w:r w:rsidRPr="00067F09">
        <w:rPr>
          <w:rFonts w:ascii="Times New Roman" w:hAnsi="Times New Roman" w:cs="Times New Roman"/>
          <w:sz w:val="28"/>
          <w:szCs w:val="28"/>
        </w:rPr>
        <w:t xml:space="preserve"> Российской Федерации и главного финансового управления Кемеровской области в вопросах составления проекта бюджета и исполнения бюджета, а также иными документами.</w:t>
      </w:r>
    </w:p>
    <w:p w:rsidR="00B04D35" w:rsidRPr="00067F09" w:rsidRDefault="00B04D35" w:rsidP="00B04D35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финансового управления в 2018 году, являлись:</w:t>
      </w:r>
    </w:p>
    <w:p w:rsidR="00B04D35" w:rsidRPr="00067F09" w:rsidRDefault="000A7167" w:rsidP="00B04D35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04D3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</w:t>
      </w:r>
      <w:r w:rsidR="00B04D3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процесса </w:t>
      </w:r>
      <w:proofErr w:type="gramStart"/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Анжеро-Судженском</w:t>
      </w:r>
      <w:proofErr w:type="gramEnd"/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округе</w:t>
      </w:r>
      <w:r w:rsidR="00B04D3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4D35" w:rsidRPr="00067F09" w:rsidRDefault="000A7167" w:rsidP="00B04D35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04D3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прозрачности и открытости бюджетного процесса;</w:t>
      </w:r>
    </w:p>
    <w:p w:rsidR="00B04D35" w:rsidRPr="00067F09" w:rsidRDefault="000A7167" w:rsidP="00B04D35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04D3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безопасного уровня дефицита и муниципального долга;</w:t>
      </w:r>
    </w:p>
    <w:p w:rsidR="000A7167" w:rsidRPr="00067F09" w:rsidRDefault="000A7167" w:rsidP="000A716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04D3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роста расходов бюджета, не обеспеченных ст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абильными доходными источниками.</w:t>
      </w:r>
    </w:p>
    <w:p w:rsidR="008534CE" w:rsidRPr="00067F09" w:rsidRDefault="008534CE" w:rsidP="00160E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муниципального образования «Анжеро-Судженский городской округ» за 2018 год </w:t>
      </w:r>
      <w:r w:rsidR="00F95E3E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доходам составил 3 234 981,1 тыс. рублей.</w:t>
      </w:r>
    </w:p>
    <w:p w:rsidR="008534CE" w:rsidRPr="00067F09" w:rsidRDefault="008534CE" w:rsidP="00007067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Собственная база местного бюджета (с учетом прочих безвозмездных поступлений) выполнена к годовому плану на 102,3% и составила 672313,0 тыс. рублей.</w:t>
      </w:r>
      <w:r w:rsidRPr="00067F09">
        <w:rPr>
          <w:sz w:val="28"/>
        </w:rPr>
        <w:t xml:space="preserve"> 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</w:t>
      </w:r>
      <w:r w:rsidR="00B3331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неналоговые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доходы составили </w:t>
      </w:r>
      <w:r w:rsidR="00B3331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580</w:t>
      </w:r>
      <w:r w:rsidR="009A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,6 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рублей. </w:t>
      </w:r>
    </w:p>
    <w:p w:rsidR="00B04D35" w:rsidRPr="00067F09" w:rsidRDefault="00034216" w:rsidP="00B04D35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Постоянный</w:t>
      </w:r>
      <w:r w:rsidR="00B04D3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налоговых и неналоговых поступлений в бюджет 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B04D3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проводимый работниками управления, оперативное взаимодействие с администраторами поступлений в </w:t>
      </w:r>
      <w:r w:rsidR="0042051B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местный </w:t>
      </w:r>
      <w:r w:rsidR="00B04D3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бюджет, структурными подразделениями администрации 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Анжеро-Судженского городского округа</w:t>
      </w:r>
      <w:r w:rsidR="00B04D3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управлением Федерального казначейства позволили своевременно реагировать на динамику поступлений в течени</w:t>
      </w:r>
      <w:r w:rsidR="0042051B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04D3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принимать эффективные меры по мобилизации доходов в бюджет </w:t>
      </w:r>
      <w:r w:rsidR="0042051B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B04D3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04D35" w:rsidRPr="00067F09" w:rsidRDefault="00B04D35" w:rsidP="00B04D35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сбалансированности и устойчивости </w:t>
      </w:r>
      <w:r w:rsidR="00E55761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DF48D3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61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Анжеро-Судженск</w:t>
      </w:r>
      <w:r w:rsidR="00DF48D3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55761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DF48D3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55761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DF48D3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5761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F48D3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07.11.2018 №1474 « Об утверждении Программы финансового оздоровления Анжеро - Судженского городского округа на </w:t>
      </w:r>
      <w:r w:rsidR="00DF48D3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2018-2021 годы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 </w:t>
      </w:r>
      <w:r w:rsidR="00DF48D3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r w:rsidR="0083394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DF48D3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финансовому оздоровлению Анжеро - Судженского городского округа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394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8463A7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основании,</w:t>
      </w:r>
      <w:r w:rsidR="0083394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ежеквартально специалистами управления проводится анализ бюджетного эффекта мероприятий по увеличению доходов и совершенствованию долговой политики, а также  эффективности расходов.</w:t>
      </w:r>
    </w:p>
    <w:p w:rsidR="00AB03A7" w:rsidRPr="00067F09" w:rsidRDefault="00AB03A7" w:rsidP="00AB03A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7F09">
        <w:rPr>
          <w:rFonts w:ascii="Times New Roman" w:hAnsi="Times New Roman" w:cs="Times New Roman"/>
          <w:sz w:val="28"/>
          <w:szCs w:val="28"/>
        </w:rPr>
        <w:t xml:space="preserve">Расходы местного бюджета за 2018 год составили 3 172 447,7 тыс. рублей, что ниже расходов прошлого года на 401 352,7 тыс. рублей или на 12,7 %. Исполнение к первоначальному плану составило 121,1 %,  к уточненному плану – 97,7 %. </w:t>
      </w:r>
    </w:p>
    <w:p w:rsidR="00AB03A7" w:rsidRPr="00067F09" w:rsidRDefault="00AB03A7" w:rsidP="00AB03A7">
      <w:pPr>
        <w:ind w:firstLine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67F09">
        <w:rPr>
          <w:rFonts w:ascii="Times New Roman" w:hAnsi="Times New Roman" w:cs="Times New Roman"/>
          <w:sz w:val="28"/>
          <w:szCs w:val="28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2709"/>
        <w:gridCol w:w="1559"/>
        <w:gridCol w:w="1701"/>
        <w:gridCol w:w="1559"/>
        <w:gridCol w:w="1276"/>
        <w:gridCol w:w="1164"/>
      </w:tblGrid>
      <w:tr w:rsidR="00067F09" w:rsidRPr="00067F09" w:rsidTr="00381891">
        <w:trPr>
          <w:trHeight w:val="126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Первон</w:t>
            </w:r>
            <w:proofErr w:type="gramStart"/>
            <w:r w:rsidRPr="0006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  <w:r w:rsidRPr="0006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06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06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чальный</w:t>
            </w:r>
            <w:proofErr w:type="spellEnd"/>
            <w:r w:rsidRPr="0006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Уточненный план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06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Исполне-ние</w:t>
            </w:r>
            <w:proofErr w:type="spellEnd"/>
            <w:proofErr w:type="gramEnd"/>
            <w:r w:rsidRPr="0006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06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исполне-ния</w:t>
            </w:r>
            <w:proofErr w:type="spellEnd"/>
            <w:proofErr w:type="gramEnd"/>
            <w:r w:rsidRPr="0006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 </w:t>
            </w:r>
            <w:proofErr w:type="spellStart"/>
            <w:r w:rsidRPr="0006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первона-чальному</w:t>
            </w:r>
            <w:proofErr w:type="spellEnd"/>
            <w:r w:rsidRPr="0006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плану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исполнения к уточненному плану</w:t>
            </w:r>
          </w:p>
        </w:tc>
      </w:tr>
      <w:tr w:rsidR="00067F09" w:rsidRPr="00067F09" w:rsidTr="00381891">
        <w:trPr>
          <w:trHeight w:val="51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3A7" w:rsidRPr="00067F09" w:rsidRDefault="00AB03A7" w:rsidP="00381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127570,4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158 056,0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154 840,7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067F09" w:rsidRPr="00067F09" w:rsidTr="00381891">
        <w:trPr>
          <w:trHeight w:val="1083"/>
        </w:trPr>
        <w:tc>
          <w:tcPr>
            <w:tcW w:w="2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3A7" w:rsidRPr="00067F09" w:rsidRDefault="00AB03A7" w:rsidP="00381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6091,8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7 853,7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7 722,9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</w:tr>
      <w:tr w:rsidR="00067F09" w:rsidRPr="00067F09" w:rsidTr="00381891">
        <w:trPr>
          <w:trHeight w:val="525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3A7" w:rsidRPr="00067F09" w:rsidRDefault="00AB03A7" w:rsidP="00381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119025,6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301 185,0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257 675,3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216,5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067F09" w:rsidRPr="00067F09" w:rsidTr="00381891">
        <w:trPr>
          <w:trHeight w:val="511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3A7" w:rsidRPr="00067F09" w:rsidRDefault="00AB03A7" w:rsidP="00381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Жилищно-</w:t>
            </w:r>
            <w:proofErr w:type="spellStart"/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коммуналь</w:t>
            </w:r>
            <w:proofErr w:type="spellEnd"/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067F09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223558,3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367 011,8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358 361,8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160,3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067F09" w:rsidRPr="00067F09" w:rsidTr="00381891">
        <w:trPr>
          <w:trHeight w:val="375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3A7" w:rsidRPr="00067F09" w:rsidRDefault="00AB03A7" w:rsidP="00381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1046052,1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1 241 930,0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1 229 415,7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067F09" w:rsidRPr="00067F09" w:rsidTr="00381891">
        <w:trPr>
          <w:trHeight w:val="480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3A7" w:rsidRPr="00067F09" w:rsidRDefault="00AB03A7" w:rsidP="00381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91362,7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109 415,1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108 401,6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118,6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</w:tr>
      <w:tr w:rsidR="00067F09" w:rsidRPr="00067F09" w:rsidTr="00381891">
        <w:trPr>
          <w:trHeight w:val="375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3A7" w:rsidRPr="00067F09" w:rsidRDefault="00AB03A7" w:rsidP="00381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965907,7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1 015 794,5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1 011 104,5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</w:tr>
      <w:tr w:rsidR="00067F09" w:rsidRPr="00067F09" w:rsidTr="00381891">
        <w:trPr>
          <w:trHeight w:val="486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3A7" w:rsidRPr="00067F09" w:rsidRDefault="00AB03A7" w:rsidP="00381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36508,7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42 763,9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41 401,0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067F09" w:rsidRPr="00067F09" w:rsidTr="00381891">
        <w:trPr>
          <w:trHeight w:val="879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3A7" w:rsidRPr="00067F09" w:rsidRDefault="00AB03A7" w:rsidP="00381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3454,1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3 524,2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3 524,2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67F09" w:rsidRPr="00067F09" w:rsidTr="00381891">
        <w:trPr>
          <w:trHeight w:val="588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2619531,4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3 247 534,2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3 172 447,7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121,1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3A7" w:rsidRPr="00067F09" w:rsidRDefault="00AB03A7" w:rsidP="00381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97,7</w:t>
            </w:r>
          </w:p>
        </w:tc>
      </w:tr>
    </w:tbl>
    <w:p w:rsidR="00E44989" w:rsidRPr="00067F09" w:rsidRDefault="00E44989" w:rsidP="00E44989">
      <w:pPr>
        <w:autoSpaceDE w:val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7F09">
        <w:rPr>
          <w:rFonts w:ascii="Times New Roman" w:hAnsi="Times New Roman" w:cs="Times New Roman"/>
          <w:sz w:val="28"/>
          <w:szCs w:val="28"/>
        </w:rPr>
        <w:t>По состоянию на 01.01.2019г. общее количество учреждений</w:t>
      </w:r>
      <w:r w:rsidR="00067F09" w:rsidRPr="00067F09">
        <w:rPr>
          <w:rFonts w:ascii="Times New Roman" w:hAnsi="Times New Roman" w:cs="Times New Roman"/>
          <w:sz w:val="28"/>
          <w:szCs w:val="28"/>
        </w:rPr>
        <w:t>, финансируемых из местного бюджета,</w:t>
      </w:r>
      <w:r w:rsidRPr="00067F09">
        <w:rPr>
          <w:rFonts w:ascii="Times New Roman" w:hAnsi="Times New Roman" w:cs="Times New Roman"/>
          <w:sz w:val="28"/>
          <w:szCs w:val="28"/>
        </w:rPr>
        <w:t xml:space="preserve"> уменьшилось на 3 единицы и составило:</w:t>
      </w:r>
    </w:p>
    <w:p w:rsidR="00E44989" w:rsidRPr="00067F09" w:rsidRDefault="00E44989" w:rsidP="00E449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F09">
        <w:rPr>
          <w:rFonts w:ascii="Times New Roman" w:hAnsi="Times New Roman" w:cs="Times New Roman"/>
          <w:sz w:val="28"/>
          <w:szCs w:val="28"/>
        </w:rPr>
        <w:lastRenderedPageBreak/>
        <w:t>-  9 органов местного самоуправления;</w:t>
      </w:r>
      <w:r w:rsidRPr="00067F0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</w:p>
    <w:p w:rsidR="00E44989" w:rsidRPr="00067F09" w:rsidRDefault="00E44989" w:rsidP="00E44989">
      <w:pPr>
        <w:autoSpaceDE w:val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7F09">
        <w:rPr>
          <w:rFonts w:ascii="Times New Roman" w:hAnsi="Times New Roman" w:cs="Times New Roman"/>
          <w:sz w:val="28"/>
          <w:szCs w:val="28"/>
        </w:rPr>
        <w:t xml:space="preserve">- 82 </w:t>
      </w:r>
      <w:proofErr w:type="gramStart"/>
      <w:r w:rsidRPr="00067F09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067F09">
        <w:rPr>
          <w:rFonts w:ascii="Times New Roman" w:hAnsi="Times New Roman" w:cs="Times New Roman"/>
          <w:sz w:val="28"/>
          <w:szCs w:val="28"/>
        </w:rPr>
        <w:t> учреждения, в том числе: 16 казенных, 59 бюджетных, 7 автономных; (</w:t>
      </w:r>
      <w:r w:rsidRPr="00067F09">
        <w:rPr>
          <w:rFonts w:ascii="Times New Roman" w:hAnsi="Times New Roman" w:cs="Times New Roman"/>
          <w:i/>
          <w:sz w:val="28"/>
          <w:szCs w:val="28"/>
        </w:rPr>
        <w:t>в 2018 году МКДОУ «Детский сад № 2» и «Ремонтно-эксплуатационная служба управления образования администрации Анжеро-Судженского городского округа» изменили тип бюджетного учреждения на казённое и создано муниципальное бюджетное учреждение Анжеро-Судженского городского округа «Управление капитального строительства»</w:t>
      </w:r>
      <w:r w:rsidRPr="00067F09">
        <w:rPr>
          <w:rFonts w:ascii="Times New Roman" w:hAnsi="Times New Roman" w:cs="Times New Roman"/>
          <w:sz w:val="28"/>
          <w:szCs w:val="28"/>
        </w:rPr>
        <w:t>);</w:t>
      </w:r>
    </w:p>
    <w:p w:rsidR="00E44989" w:rsidRPr="00067F09" w:rsidRDefault="00E44989" w:rsidP="00E44989">
      <w:pPr>
        <w:autoSpaceDE w:val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7F09">
        <w:rPr>
          <w:rFonts w:ascii="Times New Roman" w:hAnsi="Times New Roman" w:cs="Times New Roman"/>
          <w:sz w:val="28"/>
          <w:szCs w:val="28"/>
        </w:rPr>
        <w:t xml:space="preserve">- 11 муниципальных унитарных предприятий </w:t>
      </w:r>
      <w:r w:rsidRPr="00067F09">
        <w:rPr>
          <w:rFonts w:ascii="Times New Roman" w:hAnsi="Times New Roman" w:cs="Times New Roman"/>
          <w:i/>
          <w:sz w:val="28"/>
          <w:szCs w:val="28"/>
        </w:rPr>
        <w:t>(МП «Жилье», МП «ЕРКЦ», МУП «ГИС-центр», МУП «Наш город», МП «Ритуальные услуги», МУП «ГТРК», МУП «Бодрость», МП «</w:t>
      </w:r>
      <w:proofErr w:type="spellStart"/>
      <w:r w:rsidRPr="00067F09">
        <w:rPr>
          <w:rFonts w:ascii="Times New Roman" w:hAnsi="Times New Roman" w:cs="Times New Roman"/>
          <w:i/>
          <w:sz w:val="28"/>
          <w:szCs w:val="28"/>
        </w:rPr>
        <w:t>КомСАХ</w:t>
      </w:r>
      <w:proofErr w:type="spellEnd"/>
      <w:r w:rsidRPr="00067F09">
        <w:rPr>
          <w:rFonts w:ascii="Times New Roman" w:hAnsi="Times New Roman" w:cs="Times New Roman"/>
          <w:i/>
          <w:sz w:val="28"/>
          <w:szCs w:val="28"/>
        </w:rPr>
        <w:t>», МП «УКС», МУП «Общественное питание», Ликвидационная комиссия МП «Агентство по оформлению прав на земельные участки».</w:t>
      </w:r>
      <w:proofErr w:type="gramEnd"/>
      <w:r w:rsidRPr="00067F0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67F09">
        <w:rPr>
          <w:rFonts w:ascii="Times New Roman" w:hAnsi="Times New Roman" w:cs="Times New Roman"/>
          <w:i/>
          <w:sz w:val="28"/>
          <w:szCs w:val="28"/>
        </w:rPr>
        <w:t>МП «Одиссей» в 2018 году ликвидировано).</w:t>
      </w:r>
      <w:proofErr w:type="gramEnd"/>
    </w:p>
    <w:p w:rsidR="00E44989" w:rsidRPr="00067F09" w:rsidRDefault="00E44989" w:rsidP="00E44989">
      <w:pPr>
        <w:autoSpaceDE w:val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7F09">
        <w:rPr>
          <w:rFonts w:ascii="Times New Roman" w:hAnsi="Times New Roman" w:cs="Times New Roman"/>
          <w:sz w:val="28"/>
          <w:szCs w:val="28"/>
        </w:rPr>
        <w:t xml:space="preserve">Кроме того, через главного распорядителя УЖКХ финансируются 9 предприятий жилищно-коммунального хозяйства </w:t>
      </w:r>
      <w:r w:rsidRPr="00067F09">
        <w:rPr>
          <w:rFonts w:ascii="Times New Roman" w:hAnsi="Times New Roman" w:cs="Times New Roman"/>
          <w:i/>
          <w:sz w:val="28"/>
          <w:szCs w:val="28"/>
        </w:rPr>
        <w:t xml:space="preserve">(6 </w:t>
      </w:r>
      <w:proofErr w:type="spellStart"/>
      <w:r w:rsidRPr="00067F09">
        <w:rPr>
          <w:rFonts w:ascii="Times New Roman" w:hAnsi="Times New Roman" w:cs="Times New Roman"/>
          <w:i/>
          <w:sz w:val="28"/>
          <w:szCs w:val="28"/>
        </w:rPr>
        <w:t>ресурсоснабжающих</w:t>
      </w:r>
      <w:proofErr w:type="spellEnd"/>
      <w:r w:rsidRPr="00067F09">
        <w:rPr>
          <w:rFonts w:ascii="Times New Roman" w:hAnsi="Times New Roman" w:cs="Times New Roman"/>
          <w:i/>
          <w:sz w:val="28"/>
          <w:szCs w:val="28"/>
        </w:rPr>
        <w:t xml:space="preserve"> организаций, 3 предприятия жилищно-коммунального комплекса).</w:t>
      </w:r>
    </w:p>
    <w:p w:rsidR="00E44989" w:rsidRPr="00067F09" w:rsidRDefault="00E44989" w:rsidP="00E44989">
      <w:pPr>
        <w:pStyle w:val="a5"/>
        <w:ind w:firstLine="0"/>
        <w:rPr>
          <w:szCs w:val="28"/>
        </w:rPr>
      </w:pPr>
      <w:r w:rsidRPr="00067F09">
        <w:rPr>
          <w:szCs w:val="28"/>
        </w:rPr>
        <w:tab/>
        <w:t>Наибольшая доля расходов бюджета приходится на образование (38,8 %), социальную политику (31,9 %), жилищно-коммунальное хозяйство (11,3 %) и далее идут: национальная экономика (8,1 %), общегосударственные вопросы (4,9 %), культура (3,4 %), физическая культура и спорт (1,3 %). Менее 1 % в доле расходов приходится на национальную безопасность и правоохранительную деятельность (0,2 %) и обслуживание муниципального долга (0,1 %).</w:t>
      </w:r>
    </w:p>
    <w:p w:rsidR="00E44989" w:rsidRPr="00067F09" w:rsidRDefault="00E44989" w:rsidP="00E44989">
      <w:pPr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67F09">
        <w:rPr>
          <w:rFonts w:ascii="Times New Roman" w:hAnsi="Times New Roman" w:cs="Times New Roman"/>
          <w:sz w:val="28"/>
          <w:szCs w:val="28"/>
        </w:rPr>
        <w:t>В 2018 году расходы на оплату труда работников муниципальных учреждений составили 1 416 318,8 тыс. рублей или 39,6 % от общей суммы расходов. По сравнению с 2017 годом на выплату заработной платы было направлено больше на 278 329,3 тыс. рублей или на 19,7 %.</w:t>
      </w:r>
    </w:p>
    <w:p w:rsidR="00E44989" w:rsidRPr="00067F09" w:rsidRDefault="00E44989" w:rsidP="00E449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F09">
        <w:rPr>
          <w:rFonts w:ascii="Times New Roman" w:hAnsi="Times New Roman" w:cs="Times New Roman"/>
          <w:sz w:val="28"/>
          <w:szCs w:val="28"/>
        </w:rPr>
        <w:t xml:space="preserve">За 2018 год произошло значительное увеличение ФОТ по всем бюджетным учреждениям: повышение МРОТ до уровня 12 336 рублей с 1 января 2018 года  (ст.3 Федерального закона от 28.12.2017 № 421-ФЗ); повышение на 15 % с 1 марта 2018 года (постановление КАКО от 15.03.2018 № 90, телеграмма Губернатора </w:t>
      </w:r>
      <w:proofErr w:type="gramStart"/>
      <w:r w:rsidRPr="00067F09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067F09">
        <w:rPr>
          <w:rFonts w:ascii="Times New Roman" w:hAnsi="Times New Roman" w:cs="Times New Roman"/>
          <w:sz w:val="28"/>
          <w:szCs w:val="28"/>
        </w:rPr>
        <w:t xml:space="preserve"> от 21.02.2018 № 38); повышение МРОТ до уровня 14 512 рублей с 1 мая 2018 года (ст.2 Федерального закона от 07.03.2018 № 41-ФЗ); повышение оплаты труда работникам бюджетной сферы, определенным указами Президента РФ с 1 сентября 2018 года.</w:t>
      </w:r>
    </w:p>
    <w:p w:rsidR="00E44989" w:rsidRPr="00067F09" w:rsidRDefault="00E44989" w:rsidP="00E449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F09">
        <w:rPr>
          <w:rFonts w:ascii="Times New Roman" w:hAnsi="Times New Roman" w:cs="Times New Roman"/>
          <w:sz w:val="28"/>
          <w:szCs w:val="28"/>
        </w:rPr>
        <w:t>При этом от собственных доходов на выплату заработной платы направлено 60,3 %.</w:t>
      </w:r>
    </w:p>
    <w:p w:rsidR="00E44989" w:rsidRPr="00067F09" w:rsidRDefault="00E44989" w:rsidP="00E44989">
      <w:pPr>
        <w:pStyle w:val="a5"/>
        <w:ind w:firstLine="720"/>
        <w:rPr>
          <w:szCs w:val="28"/>
        </w:rPr>
      </w:pPr>
      <w:proofErr w:type="gramStart"/>
      <w:r w:rsidRPr="00067F09">
        <w:rPr>
          <w:szCs w:val="28"/>
        </w:rPr>
        <w:t xml:space="preserve">Как и в предыдущие годы, большая доля расходов пришлась на оплату коммунальных услуг –  101 203,3 тыс. рублей, больше чем в 2017 </w:t>
      </w:r>
      <w:r w:rsidRPr="00067F09">
        <w:rPr>
          <w:szCs w:val="28"/>
        </w:rPr>
        <w:lastRenderedPageBreak/>
        <w:t xml:space="preserve">году на 3947,5 тыс. рублей или на 3,9 %. Увеличение расходов произошло не только за счет ежегодного повышения тарифов с 1 июля на 5,9 %, но и в связи с созданием новых </w:t>
      </w:r>
      <w:proofErr w:type="spellStart"/>
      <w:r w:rsidRPr="00067F09">
        <w:rPr>
          <w:szCs w:val="28"/>
        </w:rPr>
        <w:t>ресурсоснабжающих</w:t>
      </w:r>
      <w:proofErr w:type="spellEnd"/>
      <w:r w:rsidRPr="00067F09">
        <w:rPr>
          <w:szCs w:val="28"/>
        </w:rPr>
        <w:t xml:space="preserve"> организаций, в которых утверждены тарифы со значительным повышением. </w:t>
      </w:r>
      <w:proofErr w:type="gramEnd"/>
    </w:p>
    <w:p w:rsidR="000C025B" w:rsidRPr="00067F09" w:rsidRDefault="000C025B" w:rsidP="00E44989">
      <w:pPr>
        <w:pStyle w:val="a5"/>
        <w:ind w:firstLine="720"/>
        <w:rPr>
          <w:szCs w:val="28"/>
        </w:rPr>
      </w:pPr>
      <w:r w:rsidRPr="00067F09">
        <w:rPr>
          <w:szCs w:val="28"/>
        </w:rPr>
        <w:t>Бюджет сформирован  в «программном» формате на основе 14 муниципальных программ, охватывающих все сферы деятельности, доля программных расходов в бюджете составляет - 99,7%.  Каждая муниципальная программа увязывает бюджетные ассигнования с результатами их использования для достижения заявленных целей. Внепрограммные расходы составляют 0,3% от всех расходов.</w:t>
      </w:r>
    </w:p>
    <w:p w:rsidR="004F1008" w:rsidRPr="00067F09" w:rsidRDefault="004F1008" w:rsidP="004F10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F09">
        <w:rPr>
          <w:rFonts w:ascii="Times New Roman" w:eastAsia="Calibri" w:hAnsi="Times New Roman" w:cs="Times New Roman"/>
          <w:sz w:val="28"/>
          <w:szCs w:val="28"/>
        </w:rPr>
        <w:t xml:space="preserve">Объем муниципального долга на 31.12.2018г. составил 6,4 % от доходов бюджета без учета объема безвозмездных поступлений, что соответствует ограничениям, установленным п.3 ст.107 БК РФ (&lt;100%). Долговая нагрузка, по сравнению с 2017 годом снизилась на 600,0 тыс. рублей: муниципальный долг составлял на 31.12.2017г. – 37492,8 тыс. рублей, на 31.12.2018г. – 36892,8 тыс. рублей. </w:t>
      </w:r>
    </w:p>
    <w:p w:rsidR="004F1008" w:rsidRPr="00067F09" w:rsidRDefault="004F1008" w:rsidP="004F10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F09">
        <w:rPr>
          <w:rFonts w:ascii="Times New Roman" w:eastAsia="Calibri" w:hAnsi="Times New Roman" w:cs="Times New Roman"/>
          <w:sz w:val="28"/>
          <w:szCs w:val="28"/>
        </w:rPr>
        <w:t xml:space="preserve">Как и в 2017 году, муниципальный долг отчетного периода состоит из коммерческого кредита, предоставленного в 2017 году </w:t>
      </w:r>
      <w:r w:rsidRPr="00067F09">
        <w:rPr>
          <w:rFonts w:ascii="Times New Roman" w:hAnsi="Times New Roman" w:cs="Times New Roman"/>
          <w:sz w:val="28"/>
          <w:szCs w:val="28"/>
        </w:rPr>
        <w:t xml:space="preserve">ПАО «Сбербанк России» в объеме – 36610,8 тыс. рублей. Снижение долговой нагрузки произошло за счет снижения остатка </w:t>
      </w:r>
      <w:r w:rsidRPr="00067F09">
        <w:rPr>
          <w:rFonts w:ascii="Times New Roman" w:eastAsia="Calibri" w:hAnsi="Times New Roman" w:cs="Times New Roman"/>
          <w:sz w:val="28"/>
          <w:szCs w:val="28"/>
        </w:rPr>
        <w:t>бюджетного кредита после реструктуризации (соглашение от 01.11.2017 № 30/02 о реструктуризации задолженности муниципального образования "Анжеро-Судженский городской округ" перед областным бюджетом по бюджетным кредитам, процентная ставка – 0,1%) с 882,0 тыс. рублей  на 31.12.2017г.,  до  282,0 тыс. рублей на 31.12.2018г.</w:t>
      </w:r>
    </w:p>
    <w:p w:rsidR="004F1008" w:rsidRPr="00067F09" w:rsidRDefault="004F1008" w:rsidP="004F100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67F09">
        <w:rPr>
          <w:rFonts w:ascii="Times New Roman" w:hAnsi="Times New Roman" w:cs="Times New Roman"/>
          <w:sz w:val="28"/>
          <w:szCs w:val="28"/>
        </w:rPr>
        <w:t>В результате работы финансового управления</w:t>
      </w:r>
      <w:r w:rsidRPr="00067F09">
        <w:rPr>
          <w:rFonts w:ascii="Times New Roman" w:eastAsia="Calibri" w:hAnsi="Times New Roman" w:cs="Times New Roman"/>
          <w:sz w:val="28"/>
          <w:szCs w:val="28"/>
        </w:rPr>
        <w:t xml:space="preserve"> достигнуто соглашение на значительное снижение процентной ставки за пользование коммерческим кредитом на 1,7% (дополнительное соглашение от 27.06.2018 № 1 к муниципальному контракту от 16.06.2017 № 5 на снижение процентов за пользование кредитом на покрытие бюджетного дефицита с 10,5 % с 16.06.2017г. до 8,8 % с 27.06.2018г.), что ведет к снижению выплат на проценты из бюджета в денежном</w:t>
      </w:r>
      <w:proofErr w:type="gramEnd"/>
      <w:r w:rsidRPr="00067F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67F09">
        <w:rPr>
          <w:rFonts w:ascii="Times New Roman" w:eastAsia="Calibri" w:hAnsi="Times New Roman" w:cs="Times New Roman"/>
          <w:sz w:val="28"/>
          <w:szCs w:val="28"/>
        </w:rPr>
        <w:t>выражении</w:t>
      </w:r>
      <w:proofErr w:type="gramEnd"/>
      <w:r w:rsidRPr="00067F09">
        <w:rPr>
          <w:rFonts w:ascii="Times New Roman" w:eastAsia="Calibri" w:hAnsi="Times New Roman" w:cs="Times New Roman"/>
          <w:sz w:val="28"/>
          <w:szCs w:val="28"/>
        </w:rPr>
        <w:t xml:space="preserve">, падающем на 2018г. – на 320,0 тыс. рублей. </w:t>
      </w:r>
    </w:p>
    <w:p w:rsidR="00B04D35" w:rsidRPr="00067F09" w:rsidRDefault="006C4654" w:rsidP="00B04D35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уделяется </w:t>
      </w:r>
      <w:r w:rsidR="00B04D3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04D3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прозрачности и открытости бюджетного процесса, обеспечения вовлеченности граждан в бюджетный процесс. Финансовым управлением своевременно публикуется бюджет и отчет о его исполнении в доступной для граждан форме на официальном сайте Администрации 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Анжеро-Судженского городского округа</w:t>
      </w:r>
      <w:r w:rsidR="00B04D3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на сайте публикуются другие материалы по бюджетному процессу и исполнению бюджета.</w:t>
      </w:r>
    </w:p>
    <w:p w:rsidR="00B04D35" w:rsidRPr="00067F09" w:rsidRDefault="00B04D35" w:rsidP="00B04D35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целях качественного и полного осуществления расходных обязате</w:t>
      </w:r>
      <w:r w:rsidR="006C4654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 в 2018 году подготовлено 9 проектов решения Совета народных депутато</w:t>
      </w:r>
      <w:r w:rsidR="00FC393B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 внесении изменений в бюджет, на которые получены положительные заключения прокуратуры и контрольно-счетной палаты Анжеро-Судженского городского округа. Подготовлен проект </w:t>
      </w:r>
      <w:r w:rsidR="009A053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C393B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СНД об исполнении бюджета городского округа за 201</w:t>
      </w:r>
      <w:r w:rsidR="009A053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C393B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B04D35" w:rsidRPr="00067F09" w:rsidRDefault="00B04D35" w:rsidP="00B04D35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проведена оценка качества управления финансами </w:t>
      </w:r>
      <w:r w:rsidR="006C4654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ГРБС 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проведения мониторинга качества финансового менеджмента.</w:t>
      </w:r>
    </w:p>
    <w:p w:rsidR="00FC393B" w:rsidRPr="00067F09" w:rsidRDefault="00FC393B" w:rsidP="00B04D35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09">
        <w:rPr>
          <w:rFonts w:ascii="Times New Roman" w:hAnsi="Times New Roman" w:cs="Times New Roman"/>
          <w:sz w:val="28"/>
          <w:szCs w:val="28"/>
        </w:rPr>
        <w:lastRenderedPageBreak/>
        <w:t>Постоянно велась методологическая работа с главными распорядителями бюджетных средств, в части планирования и исполнения бюджета.</w:t>
      </w:r>
    </w:p>
    <w:p w:rsidR="00103E34" w:rsidRPr="00067F09" w:rsidRDefault="00103E34" w:rsidP="00B04D35">
      <w:pPr>
        <w:shd w:val="clear" w:color="auto" w:fill="FFFFFF"/>
        <w:spacing w:after="105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7F09">
        <w:rPr>
          <w:rFonts w:ascii="Times New Roman" w:hAnsi="Times New Roman" w:cs="Times New Roman"/>
          <w:sz w:val="28"/>
          <w:szCs w:val="28"/>
        </w:rPr>
        <w:t>В соответствии с Порядком составления и ведения сводной бюджетной росписи бюджета Анжеро-Судженского городского округа и бюджетных росписей главных распорядителей средств бюджета округа и главных администраторов источников финансирования дефицита бюджета округа, в 2018 году специалистами Финансового управления сформирована сводная бюджетная роспись и своевременно вн</w:t>
      </w:r>
      <w:r w:rsidR="004447C5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067F09">
        <w:rPr>
          <w:rFonts w:ascii="Times New Roman" w:hAnsi="Times New Roman" w:cs="Times New Roman"/>
          <w:sz w:val="28"/>
          <w:szCs w:val="28"/>
        </w:rPr>
        <w:t>сились в течение отчетного периода изменения в сводную бюджетную роспись.</w:t>
      </w:r>
      <w:proofErr w:type="gramEnd"/>
      <w:r w:rsidRPr="00067F09">
        <w:rPr>
          <w:rFonts w:ascii="Times New Roman" w:hAnsi="Times New Roman" w:cs="Times New Roman"/>
          <w:sz w:val="28"/>
          <w:szCs w:val="28"/>
        </w:rPr>
        <w:t xml:space="preserve"> Финансовым управлением сформированы и доведены до главных распорядителей бюджетных средств уведомления о предельных объемах финансирования. Вносились изменения в предельные объемы финансирования между направлениями расходов.</w:t>
      </w:r>
    </w:p>
    <w:p w:rsidR="00381891" w:rsidRPr="00067F09" w:rsidRDefault="00FC393B" w:rsidP="00B04D35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09">
        <w:rPr>
          <w:rFonts w:ascii="Times New Roman" w:hAnsi="Times New Roman" w:cs="Times New Roman"/>
          <w:sz w:val="28"/>
          <w:szCs w:val="28"/>
        </w:rPr>
        <w:t>Финансовым управлением г. Анжеро-Судженска ведется и своевременно предоставляется в Главное финансовое управление  Реестр расходных обязательств.</w:t>
      </w:r>
    </w:p>
    <w:p w:rsidR="00E32D65" w:rsidRPr="00067F09" w:rsidRDefault="00B04D35" w:rsidP="00B04D35">
      <w:pPr>
        <w:shd w:val="clear" w:color="auto" w:fill="FFFFFF"/>
        <w:spacing w:after="105" w:line="240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</w:t>
      </w:r>
      <w:r w:rsidR="00381891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Анжеро-Судженского городского округа 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финансовым управлением в 2018 году осуществлялось формирование отчета об исполнении бюджета </w:t>
      </w:r>
      <w:r w:rsidR="00E32D6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Анжеро-Судженского городского округа 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 квартал, полугодие</w:t>
      </w:r>
      <w:r w:rsidR="00E00AD9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девять месяцев </w:t>
      </w:r>
      <w:r w:rsidR="00E00AD9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00AD9" w:rsidRPr="00067F09">
        <w:rPr>
          <w:rFonts w:ascii="Times New Roman" w:hAnsi="Times New Roman" w:cs="Times New Roman"/>
          <w:sz w:val="28"/>
          <w:szCs w:val="28"/>
        </w:rPr>
        <w:t>за очередной финансовый год</w:t>
      </w:r>
      <w:r w:rsidR="00E00AD9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направления </w:t>
      </w:r>
      <w:r w:rsidR="00E32D65" w:rsidRPr="00067F09">
        <w:rPr>
          <w:rFonts w:ascii="Times New Roman" w:hAnsi="Times New Roman" w:cs="Times New Roman"/>
          <w:bCs/>
          <w:sz w:val="28"/>
          <w:szCs w:val="28"/>
        </w:rPr>
        <w:t>в Совет народных депутатов Анжеро-Судженского городского округа, Контрольно-счетную палату Анжеро-Судженского городского округа.</w:t>
      </w:r>
    </w:p>
    <w:p w:rsidR="00B04D35" w:rsidRPr="00067F09" w:rsidRDefault="00B04D35" w:rsidP="00B04D35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Консолидированная годовая бюджетная</w:t>
      </w:r>
      <w:r w:rsidR="007A1E14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бухгалтерская 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отчетность </w:t>
      </w:r>
      <w:r w:rsidR="007A1E14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Анжеро-Судженского городского округа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</w:t>
      </w:r>
      <w:r w:rsidR="007A1E14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финансовым управлением представлена в 201</w:t>
      </w:r>
      <w:r w:rsidR="007A1E14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полном объеме предусмотренных форм и в срок, установленный </w:t>
      </w:r>
      <w:r w:rsidR="007A1E14" w:rsidRPr="00067F09">
        <w:rPr>
          <w:rFonts w:ascii="Times New Roman" w:hAnsi="Times New Roman" w:cs="Times New Roman"/>
          <w:sz w:val="28"/>
          <w:szCs w:val="28"/>
        </w:rPr>
        <w:t xml:space="preserve">Главным  финансовым управлением </w:t>
      </w:r>
      <w:r w:rsidR="007A1E14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Кемеровской области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D35" w:rsidRPr="00067F09" w:rsidRDefault="00E00AD9" w:rsidP="003D6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09">
        <w:rPr>
          <w:rFonts w:ascii="Times New Roman" w:hAnsi="Times New Roman" w:cs="Times New Roman"/>
          <w:sz w:val="28"/>
          <w:szCs w:val="28"/>
        </w:rPr>
        <w:tab/>
      </w:r>
      <w:r w:rsidR="00B04D3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финансовым управлением ежемесячно и ежеквартально осуществлялся прием и проверка на соответствие контрольным соотношениям бюджетной отчетности главных распорядителей средств </w:t>
      </w:r>
      <w:r w:rsidR="007A1E14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B04D3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бюджета, сводной бухгалтерской отчетности муниципальных бюджетных учреждений. Также ежемесячно и ежеквартально в срок, установленный </w:t>
      </w:r>
      <w:r w:rsidR="003D627E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02C" w:rsidRPr="00067F09">
        <w:rPr>
          <w:rFonts w:ascii="Times New Roman" w:hAnsi="Times New Roman" w:cs="Times New Roman"/>
          <w:sz w:val="28"/>
          <w:szCs w:val="28"/>
        </w:rPr>
        <w:t xml:space="preserve">Главным  финансовым управлением </w:t>
      </w:r>
      <w:r w:rsidR="00B7102C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Кемеровской области</w:t>
      </w:r>
      <w:r w:rsidR="00B04D3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финансовым управлением формировалась и представлялась в полном объеме форм отчетность об исполнении консолидированного бюджета </w:t>
      </w:r>
      <w:r w:rsidR="00B7102C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Анжеро-Судженского городского округа</w:t>
      </w:r>
      <w:r w:rsidR="00B04D3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сводная бухгалтерская отчетность муниципальных бюджетных учреждений.</w:t>
      </w:r>
    </w:p>
    <w:p w:rsidR="00B04D35" w:rsidRPr="00067F09" w:rsidRDefault="00B04D35" w:rsidP="00B04D35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результативности и эффективности использования бюджетных средств финансовым управлением ежемесячно по результатам сформированной бюджетной (бухгалтерской) отчетности осуществляется мониторинг просроченной кредиторской задолженности главных распорядителей средств </w:t>
      </w:r>
      <w:r w:rsidR="003D627E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муниципальных казенных учреждений </w:t>
      </w:r>
      <w:r w:rsidR="003D627E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6E61F9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1229C6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росроченной задолженности за 2018 год нет.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9C6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</w:t>
      </w:r>
      <w:r w:rsidR="001229C6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анализ 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остатков средств на лицевых счетах главных распорядителей средств </w:t>
      </w:r>
      <w:r w:rsidR="003D627E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муниципальных казенных и бюджетных учреждений.</w:t>
      </w:r>
    </w:p>
    <w:p w:rsidR="00B04D35" w:rsidRPr="00067F09" w:rsidRDefault="00B04D35" w:rsidP="00B04D35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оценки эффективности деятельности муниципальных бюджетных и автономных учреждений финансовое управление ежеквартально проводит анализ информации по доходам и расходам муниципальных учреждений от иной приносящей доход деятельности для последующего определения дополнительных резервов в виде внебюджетных источников.</w:t>
      </w:r>
    </w:p>
    <w:p w:rsidR="00EF6D32" w:rsidRPr="00067F09" w:rsidRDefault="00EF6D32" w:rsidP="00B04D35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управлением Анжеро-Судженского городского округа осуществляется контроль, предусмотренного частью 5 статьи 99 Федерального закона “ О контрактной системе в сфере закупок товаров, работ, услуг для обеспечения государственных и муниципальных нужд”.</w:t>
      </w:r>
    </w:p>
    <w:p w:rsidR="00D44960" w:rsidRPr="00067F09" w:rsidRDefault="00934A44" w:rsidP="00B04D35">
      <w:pPr>
        <w:shd w:val="clear" w:color="auto" w:fill="FFFFFF"/>
        <w:spacing w:after="105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Субъектами контроля являются муниципальные   учреждения. </w:t>
      </w:r>
      <w:r w:rsidR="00EF6D32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осуществляется в отношении соответствия информации, содержащейся в документах</w:t>
      </w:r>
      <w:r w:rsidR="00FA27DD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F6D32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C27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об объеме финансового обеспечения закупки</w:t>
      </w:r>
      <w:r w:rsidR="00FA27DD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B01C27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об идентификационном коде закупки</w:t>
      </w:r>
      <w:r w:rsidR="00FA27DD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; сведения о контракте</w:t>
      </w:r>
      <w:r w:rsidR="00A56E5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включения в реестр контрактов</w:t>
      </w:r>
      <w:r w:rsidR="00B01C27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6E55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C27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2018год </w:t>
      </w:r>
      <w:r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проверено </w:t>
      </w:r>
      <w:r w:rsidR="00D44960" w:rsidRPr="00067F09">
        <w:rPr>
          <w:rFonts w:ascii="Times New Roman" w:eastAsia="Times New Roman" w:hAnsi="Times New Roman" w:cs="Times New Roman"/>
          <w:sz w:val="28"/>
          <w:szCs w:val="28"/>
          <w:lang w:eastAsia="ru-RU"/>
        </w:rPr>
        <w:t>2748 документов.</w:t>
      </w:r>
    </w:p>
    <w:sectPr w:rsidR="00D44960" w:rsidRPr="00067F09" w:rsidSect="005151A0">
      <w:pgSz w:w="11906" w:h="16838" w:code="9"/>
      <w:pgMar w:top="340" w:right="1418" w:bottom="340" w:left="1418" w:header="403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04D35"/>
    <w:rsid w:val="000038A4"/>
    <w:rsid w:val="00007067"/>
    <w:rsid w:val="00017953"/>
    <w:rsid w:val="00021C3A"/>
    <w:rsid w:val="00032592"/>
    <w:rsid w:val="00034216"/>
    <w:rsid w:val="00057E70"/>
    <w:rsid w:val="0006520A"/>
    <w:rsid w:val="00067F09"/>
    <w:rsid w:val="000A24EA"/>
    <w:rsid w:val="000A5540"/>
    <w:rsid w:val="000A7167"/>
    <w:rsid w:val="000C00E6"/>
    <w:rsid w:val="000C025B"/>
    <w:rsid w:val="000D276C"/>
    <w:rsid w:val="000F796C"/>
    <w:rsid w:val="00103E34"/>
    <w:rsid w:val="00106708"/>
    <w:rsid w:val="001229C6"/>
    <w:rsid w:val="001300A7"/>
    <w:rsid w:val="00140E10"/>
    <w:rsid w:val="00154F22"/>
    <w:rsid w:val="00160EEC"/>
    <w:rsid w:val="00167945"/>
    <w:rsid w:val="001807C1"/>
    <w:rsid w:val="00186981"/>
    <w:rsid w:val="0019447E"/>
    <w:rsid w:val="00196184"/>
    <w:rsid w:val="001C3454"/>
    <w:rsid w:val="001E0F4C"/>
    <w:rsid w:val="001E6B57"/>
    <w:rsid w:val="001E7CF2"/>
    <w:rsid w:val="001F6A9A"/>
    <w:rsid w:val="002048F9"/>
    <w:rsid w:val="002131D0"/>
    <w:rsid w:val="00214D1E"/>
    <w:rsid w:val="0021689A"/>
    <w:rsid w:val="00220771"/>
    <w:rsid w:val="00240F28"/>
    <w:rsid w:val="00243F36"/>
    <w:rsid w:val="00245DB3"/>
    <w:rsid w:val="002649C2"/>
    <w:rsid w:val="0027699E"/>
    <w:rsid w:val="002907B4"/>
    <w:rsid w:val="002A0144"/>
    <w:rsid w:val="002B5446"/>
    <w:rsid w:val="002C51AA"/>
    <w:rsid w:val="002C7D5D"/>
    <w:rsid w:val="002E5C01"/>
    <w:rsid w:val="002F3E32"/>
    <w:rsid w:val="002F73C8"/>
    <w:rsid w:val="00301E9F"/>
    <w:rsid w:val="00310B9A"/>
    <w:rsid w:val="003158AB"/>
    <w:rsid w:val="00316445"/>
    <w:rsid w:val="00321159"/>
    <w:rsid w:val="00334AD9"/>
    <w:rsid w:val="00341DA3"/>
    <w:rsid w:val="003619E1"/>
    <w:rsid w:val="00362CA2"/>
    <w:rsid w:val="00362CE0"/>
    <w:rsid w:val="00373770"/>
    <w:rsid w:val="00381891"/>
    <w:rsid w:val="00397E41"/>
    <w:rsid w:val="003A2043"/>
    <w:rsid w:val="003A6A03"/>
    <w:rsid w:val="003B332D"/>
    <w:rsid w:val="003B3589"/>
    <w:rsid w:val="003C4AC3"/>
    <w:rsid w:val="003D627E"/>
    <w:rsid w:val="00416FB8"/>
    <w:rsid w:val="0042051B"/>
    <w:rsid w:val="0042090D"/>
    <w:rsid w:val="00435655"/>
    <w:rsid w:val="004447C5"/>
    <w:rsid w:val="00445C92"/>
    <w:rsid w:val="00454698"/>
    <w:rsid w:val="00467ED7"/>
    <w:rsid w:val="00473417"/>
    <w:rsid w:val="00474100"/>
    <w:rsid w:val="0048211E"/>
    <w:rsid w:val="00483C7B"/>
    <w:rsid w:val="00486FFB"/>
    <w:rsid w:val="004A171F"/>
    <w:rsid w:val="004B496B"/>
    <w:rsid w:val="004E0CC8"/>
    <w:rsid w:val="004F1008"/>
    <w:rsid w:val="0051215E"/>
    <w:rsid w:val="005151A0"/>
    <w:rsid w:val="005241C9"/>
    <w:rsid w:val="00564DBC"/>
    <w:rsid w:val="00592D9F"/>
    <w:rsid w:val="0059455C"/>
    <w:rsid w:val="005A5594"/>
    <w:rsid w:val="0062369E"/>
    <w:rsid w:val="006237E9"/>
    <w:rsid w:val="006270D7"/>
    <w:rsid w:val="00633F2E"/>
    <w:rsid w:val="00640774"/>
    <w:rsid w:val="006579E0"/>
    <w:rsid w:val="00683AF7"/>
    <w:rsid w:val="00692EFD"/>
    <w:rsid w:val="0069451D"/>
    <w:rsid w:val="006A68F9"/>
    <w:rsid w:val="006C1247"/>
    <w:rsid w:val="006C4654"/>
    <w:rsid w:val="006C6353"/>
    <w:rsid w:val="006D1E8A"/>
    <w:rsid w:val="006D5FA7"/>
    <w:rsid w:val="006E61F9"/>
    <w:rsid w:val="007024ED"/>
    <w:rsid w:val="00704530"/>
    <w:rsid w:val="00706550"/>
    <w:rsid w:val="0071057B"/>
    <w:rsid w:val="0071406B"/>
    <w:rsid w:val="00730409"/>
    <w:rsid w:val="007476ED"/>
    <w:rsid w:val="0075376E"/>
    <w:rsid w:val="007613BB"/>
    <w:rsid w:val="007654ED"/>
    <w:rsid w:val="007743E6"/>
    <w:rsid w:val="00791CAF"/>
    <w:rsid w:val="00796524"/>
    <w:rsid w:val="007A1E14"/>
    <w:rsid w:val="007A6737"/>
    <w:rsid w:val="007A6AD0"/>
    <w:rsid w:val="007A7D0F"/>
    <w:rsid w:val="007B09BD"/>
    <w:rsid w:val="007D12E3"/>
    <w:rsid w:val="007D19E6"/>
    <w:rsid w:val="007D75F0"/>
    <w:rsid w:val="007F6445"/>
    <w:rsid w:val="00800990"/>
    <w:rsid w:val="00800F27"/>
    <w:rsid w:val="00831B36"/>
    <w:rsid w:val="00833945"/>
    <w:rsid w:val="008404CE"/>
    <w:rsid w:val="00844216"/>
    <w:rsid w:val="008463A7"/>
    <w:rsid w:val="00846AC1"/>
    <w:rsid w:val="008534CE"/>
    <w:rsid w:val="008558E9"/>
    <w:rsid w:val="0087075B"/>
    <w:rsid w:val="008761C2"/>
    <w:rsid w:val="00883E2E"/>
    <w:rsid w:val="008930FC"/>
    <w:rsid w:val="008C1055"/>
    <w:rsid w:val="008D5502"/>
    <w:rsid w:val="008D7075"/>
    <w:rsid w:val="008E075E"/>
    <w:rsid w:val="008F6D73"/>
    <w:rsid w:val="00916F7D"/>
    <w:rsid w:val="00934A44"/>
    <w:rsid w:val="009A0534"/>
    <w:rsid w:val="009A4F27"/>
    <w:rsid w:val="009B42B7"/>
    <w:rsid w:val="009C71D2"/>
    <w:rsid w:val="00A01C96"/>
    <w:rsid w:val="00A0750A"/>
    <w:rsid w:val="00A22DE7"/>
    <w:rsid w:val="00A230DF"/>
    <w:rsid w:val="00A23556"/>
    <w:rsid w:val="00A3136A"/>
    <w:rsid w:val="00A56E55"/>
    <w:rsid w:val="00A63DA7"/>
    <w:rsid w:val="00A67C04"/>
    <w:rsid w:val="00A71BB2"/>
    <w:rsid w:val="00A80A16"/>
    <w:rsid w:val="00AB03A7"/>
    <w:rsid w:val="00AB0CCA"/>
    <w:rsid w:val="00AB319E"/>
    <w:rsid w:val="00AC06C3"/>
    <w:rsid w:val="00AC57E0"/>
    <w:rsid w:val="00AD1ADE"/>
    <w:rsid w:val="00AD2CEA"/>
    <w:rsid w:val="00AD6054"/>
    <w:rsid w:val="00B00C56"/>
    <w:rsid w:val="00B01C27"/>
    <w:rsid w:val="00B04D35"/>
    <w:rsid w:val="00B10BAF"/>
    <w:rsid w:val="00B33315"/>
    <w:rsid w:val="00B4314E"/>
    <w:rsid w:val="00B43E27"/>
    <w:rsid w:val="00B47F22"/>
    <w:rsid w:val="00B6057E"/>
    <w:rsid w:val="00B7102C"/>
    <w:rsid w:val="00B73F06"/>
    <w:rsid w:val="00B84BD0"/>
    <w:rsid w:val="00BB16F4"/>
    <w:rsid w:val="00BD7B10"/>
    <w:rsid w:val="00BE0732"/>
    <w:rsid w:val="00BE5966"/>
    <w:rsid w:val="00BF2C81"/>
    <w:rsid w:val="00C04641"/>
    <w:rsid w:val="00C15AE1"/>
    <w:rsid w:val="00C305A9"/>
    <w:rsid w:val="00C36F18"/>
    <w:rsid w:val="00C7667A"/>
    <w:rsid w:val="00C86853"/>
    <w:rsid w:val="00C92BC2"/>
    <w:rsid w:val="00C96FC3"/>
    <w:rsid w:val="00CA3FAA"/>
    <w:rsid w:val="00CA45F7"/>
    <w:rsid w:val="00CA51EE"/>
    <w:rsid w:val="00CA5C97"/>
    <w:rsid w:val="00CA64C3"/>
    <w:rsid w:val="00CB29E9"/>
    <w:rsid w:val="00CB756E"/>
    <w:rsid w:val="00CC1462"/>
    <w:rsid w:val="00CE73D8"/>
    <w:rsid w:val="00CF7094"/>
    <w:rsid w:val="00D02F03"/>
    <w:rsid w:val="00D23D07"/>
    <w:rsid w:val="00D42A30"/>
    <w:rsid w:val="00D44960"/>
    <w:rsid w:val="00D50F09"/>
    <w:rsid w:val="00D725DE"/>
    <w:rsid w:val="00D80B10"/>
    <w:rsid w:val="00DA4212"/>
    <w:rsid w:val="00DB5560"/>
    <w:rsid w:val="00DC082B"/>
    <w:rsid w:val="00DC5303"/>
    <w:rsid w:val="00DD0976"/>
    <w:rsid w:val="00DE00F5"/>
    <w:rsid w:val="00DF48D3"/>
    <w:rsid w:val="00DF68A6"/>
    <w:rsid w:val="00E00AD9"/>
    <w:rsid w:val="00E12093"/>
    <w:rsid w:val="00E16B7F"/>
    <w:rsid w:val="00E32D65"/>
    <w:rsid w:val="00E44989"/>
    <w:rsid w:val="00E55761"/>
    <w:rsid w:val="00EA46C1"/>
    <w:rsid w:val="00EC71E5"/>
    <w:rsid w:val="00ED191E"/>
    <w:rsid w:val="00EE0F73"/>
    <w:rsid w:val="00EF6D32"/>
    <w:rsid w:val="00F04AD0"/>
    <w:rsid w:val="00F0538D"/>
    <w:rsid w:val="00F142AD"/>
    <w:rsid w:val="00F236AE"/>
    <w:rsid w:val="00F272D3"/>
    <w:rsid w:val="00F33F41"/>
    <w:rsid w:val="00F416B1"/>
    <w:rsid w:val="00F44C1E"/>
    <w:rsid w:val="00F66904"/>
    <w:rsid w:val="00F72A94"/>
    <w:rsid w:val="00F8474C"/>
    <w:rsid w:val="00F95E3E"/>
    <w:rsid w:val="00FA27DD"/>
    <w:rsid w:val="00FB0F25"/>
    <w:rsid w:val="00FB21EC"/>
    <w:rsid w:val="00FB29DF"/>
    <w:rsid w:val="00FB7319"/>
    <w:rsid w:val="00FC1C2A"/>
    <w:rsid w:val="00FC393B"/>
    <w:rsid w:val="00FD4ECD"/>
    <w:rsid w:val="00FD5729"/>
    <w:rsid w:val="00FE6ED1"/>
    <w:rsid w:val="00FE75FD"/>
    <w:rsid w:val="00FF416B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976"/>
  </w:style>
  <w:style w:type="paragraph" w:styleId="2">
    <w:name w:val="heading 2"/>
    <w:basedOn w:val="a"/>
    <w:link w:val="20"/>
    <w:uiPriority w:val="9"/>
    <w:qFormat/>
    <w:rsid w:val="00B04D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D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j">
    <w:name w:val="_aj"/>
    <w:basedOn w:val="a"/>
    <w:rsid w:val="00B0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04D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0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E44989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6">
    <w:name w:val="Основной текст с отступом Знак"/>
    <w:basedOn w:val="a0"/>
    <w:link w:val="a5"/>
    <w:rsid w:val="00E4498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rsid w:val="004F10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1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6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4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4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6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Orlova</dc:creator>
  <cp:lastModifiedBy>Tatyana Orlova</cp:lastModifiedBy>
  <cp:revision>28</cp:revision>
  <dcterms:created xsi:type="dcterms:W3CDTF">2019-05-28T01:56:00Z</dcterms:created>
  <dcterms:modified xsi:type="dcterms:W3CDTF">2019-05-29T07:27:00Z</dcterms:modified>
</cp:coreProperties>
</file>