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9B4" w:rsidRPr="00550F6F" w:rsidRDefault="000129B4" w:rsidP="00B04D35">
      <w:pPr>
        <w:shd w:val="clear" w:color="auto" w:fill="FFFFFF"/>
        <w:spacing w:after="105" w:line="240" w:lineRule="auto"/>
        <w:ind w:firstLine="3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4D35" w:rsidRPr="00550F6F" w:rsidRDefault="00454698" w:rsidP="00B04D35">
      <w:pPr>
        <w:shd w:val="clear" w:color="auto" w:fill="FFFFFF"/>
        <w:spacing w:after="105" w:line="240" w:lineRule="auto"/>
        <w:ind w:firstLine="30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50F6F">
        <w:rPr>
          <w:rFonts w:ascii="Times New Roman" w:eastAsia="Times New Roman" w:hAnsi="Times New Roman" w:cs="Times New Roman"/>
          <w:b/>
          <w:bCs/>
          <w:sz w:val="32"/>
          <w:szCs w:val="32"/>
        </w:rPr>
        <w:t>О</w:t>
      </w:r>
      <w:r w:rsidR="00B04D35" w:rsidRPr="00550F6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тчёт о результатах деятельности финансового управления </w:t>
      </w:r>
      <w:r w:rsidRPr="00550F6F">
        <w:rPr>
          <w:rFonts w:ascii="Times New Roman" w:eastAsia="Times New Roman" w:hAnsi="Times New Roman" w:cs="Times New Roman"/>
          <w:b/>
          <w:bCs/>
          <w:sz w:val="32"/>
          <w:szCs w:val="32"/>
        </w:rPr>
        <w:t>г.</w:t>
      </w:r>
      <w:r w:rsidR="001F5EA5" w:rsidRPr="00550F6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550F6F">
        <w:rPr>
          <w:rFonts w:ascii="Times New Roman" w:eastAsia="Times New Roman" w:hAnsi="Times New Roman" w:cs="Times New Roman"/>
          <w:b/>
          <w:bCs/>
          <w:sz w:val="32"/>
          <w:szCs w:val="32"/>
        </w:rPr>
        <w:t>Анжеро-Судженска</w:t>
      </w:r>
      <w:r w:rsidR="00CC5BA6" w:rsidRPr="00550F6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за 2020</w:t>
      </w:r>
      <w:r w:rsidR="00B04D35" w:rsidRPr="00550F6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год</w:t>
      </w:r>
    </w:p>
    <w:p w:rsidR="006C6353" w:rsidRPr="00550F6F" w:rsidRDefault="00B04D35" w:rsidP="00550F6F">
      <w:pPr>
        <w:shd w:val="clear" w:color="auto" w:fill="FFFFFF"/>
        <w:spacing w:after="105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Финансовое управление </w:t>
      </w:r>
      <w:r w:rsidR="00454698" w:rsidRPr="00550F6F">
        <w:rPr>
          <w:rFonts w:ascii="Times New Roman" w:eastAsia="Times New Roman" w:hAnsi="Times New Roman" w:cs="Times New Roman"/>
          <w:sz w:val="28"/>
          <w:szCs w:val="28"/>
        </w:rPr>
        <w:t>г. Анжеро-Судженска</w:t>
      </w:r>
      <w:r w:rsidR="004F0FF3" w:rsidRPr="00550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(далее – финансовое управление) </w:t>
      </w:r>
      <w:r w:rsidR="004F0FF3" w:rsidRPr="00550F6F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6C6353" w:rsidRPr="00550F6F">
        <w:rPr>
          <w:rFonts w:ascii="Times New Roman" w:hAnsi="Times New Roman" w:cs="Times New Roman"/>
          <w:sz w:val="28"/>
          <w:szCs w:val="28"/>
        </w:rPr>
        <w:t xml:space="preserve">территориальным органом </w:t>
      </w:r>
      <w:r w:rsidR="00BB756E">
        <w:rPr>
          <w:rFonts w:ascii="Times New Roman" w:hAnsi="Times New Roman" w:cs="Times New Roman"/>
          <w:sz w:val="28"/>
          <w:szCs w:val="28"/>
        </w:rPr>
        <w:t>Министерства финансов Кузбасса</w:t>
      </w:r>
      <w:r w:rsidR="006C6353" w:rsidRPr="00550F6F">
        <w:rPr>
          <w:rFonts w:ascii="Times New Roman" w:hAnsi="Times New Roman" w:cs="Times New Roman"/>
          <w:sz w:val="28"/>
          <w:szCs w:val="28"/>
        </w:rPr>
        <w:t>, обеспечивающим разработку и реализацию единой финансовой политики и осуществляющим на основе Соглашения техническое обеспечение бюджетного процесса на территории города Анжеро-Судженска.</w:t>
      </w:r>
    </w:p>
    <w:p w:rsidR="006C6353" w:rsidRPr="00550F6F" w:rsidRDefault="006C6353" w:rsidP="00550F6F">
      <w:pPr>
        <w:shd w:val="clear" w:color="auto" w:fill="FFFFFF"/>
        <w:spacing w:after="105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0F6F">
        <w:rPr>
          <w:rFonts w:ascii="Times New Roman" w:hAnsi="Times New Roman" w:cs="Times New Roman"/>
          <w:sz w:val="28"/>
          <w:szCs w:val="28"/>
        </w:rPr>
        <w:t>В своей деятельности управление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Кемеровской области, законами Кемеровской области, постановлениями и распоряжениями Губернатора Кемеровской области, Коллегии Администрации Кемеровской области, Уставом муниципального образования, нормативными правовыми актами органов местного самоуправления, другими нормативными правовыми актами, в том числе приказами, указаниями и инструкциями Министерства финансов</w:t>
      </w:r>
      <w:proofErr w:type="gramEnd"/>
      <w:r w:rsidRPr="00550F6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BB756E">
        <w:rPr>
          <w:rFonts w:ascii="Times New Roman" w:hAnsi="Times New Roman" w:cs="Times New Roman"/>
          <w:sz w:val="28"/>
          <w:szCs w:val="28"/>
        </w:rPr>
        <w:t>и Министерства финансов Кузбасса</w:t>
      </w:r>
      <w:r w:rsidRPr="00550F6F">
        <w:rPr>
          <w:rFonts w:ascii="Times New Roman" w:hAnsi="Times New Roman" w:cs="Times New Roman"/>
          <w:sz w:val="28"/>
          <w:szCs w:val="28"/>
        </w:rPr>
        <w:t xml:space="preserve"> в вопросах составления проекта бюджета и исполнения бюджета, а также иными документами.</w:t>
      </w:r>
    </w:p>
    <w:p w:rsidR="00B04D35" w:rsidRPr="00550F6F" w:rsidRDefault="00B04D35" w:rsidP="00550F6F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6F">
        <w:rPr>
          <w:rFonts w:ascii="Times New Roman" w:eastAsia="Times New Roman" w:hAnsi="Times New Roman" w:cs="Times New Roman"/>
          <w:sz w:val="28"/>
          <w:szCs w:val="28"/>
        </w:rPr>
        <w:t>Основными задачами финансового управления в 20</w:t>
      </w:r>
      <w:r w:rsidR="00CC5BA6" w:rsidRPr="00550F6F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 году, являлись:</w:t>
      </w:r>
    </w:p>
    <w:p w:rsidR="00B04D35" w:rsidRPr="00550F6F" w:rsidRDefault="000A7167" w:rsidP="00550F6F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B04D35" w:rsidRPr="00550F6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>рганизация</w:t>
      </w:r>
      <w:r w:rsidR="00B04D35" w:rsidRPr="00550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бюджетного процесса </w:t>
      </w:r>
      <w:proofErr w:type="gramStart"/>
      <w:r w:rsidRPr="00550F6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50F6F">
        <w:rPr>
          <w:rFonts w:ascii="Times New Roman" w:eastAsia="Times New Roman" w:hAnsi="Times New Roman" w:cs="Times New Roman"/>
          <w:sz w:val="28"/>
          <w:szCs w:val="28"/>
        </w:rPr>
        <w:t>Анжеро-Судженском</w:t>
      </w:r>
      <w:proofErr w:type="gramEnd"/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 городском округе</w:t>
      </w:r>
      <w:r w:rsidR="00B04D35" w:rsidRPr="00550F6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35" w:rsidRPr="00550F6F" w:rsidRDefault="000A7167" w:rsidP="00550F6F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B04D35" w:rsidRPr="00550F6F">
        <w:rPr>
          <w:rFonts w:ascii="Times New Roman" w:eastAsia="Times New Roman" w:hAnsi="Times New Roman" w:cs="Times New Roman"/>
          <w:sz w:val="28"/>
          <w:szCs w:val="28"/>
        </w:rPr>
        <w:t>обеспечение прозрачности и открытости бюджетного процесса;</w:t>
      </w:r>
    </w:p>
    <w:p w:rsidR="00B04D35" w:rsidRPr="00550F6F" w:rsidRDefault="000A7167" w:rsidP="00550F6F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B04D35" w:rsidRPr="00550F6F">
        <w:rPr>
          <w:rFonts w:ascii="Times New Roman" w:eastAsia="Times New Roman" w:hAnsi="Times New Roman" w:cs="Times New Roman"/>
          <w:sz w:val="28"/>
          <w:szCs w:val="28"/>
        </w:rPr>
        <w:t>поддержание безопасного уровня дефицита и муниципального долга;</w:t>
      </w:r>
    </w:p>
    <w:p w:rsidR="000A7167" w:rsidRPr="00550F6F" w:rsidRDefault="000A7167" w:rsidP="00550F6F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B04D35" w:rsidRPr="00550F6F">
        <w:rPr>
          <w:rFonts w:ascii="Times New Roman" w:eastAsia="Times New Roman" w:hAnsi="Times New Roman" w:cs="Times New Roman"/>
          <w:sz w:val="28"/>
          <w:szCs w:val="28"/>
        </w:rPr>
        <w:t>ограничение роста расходов бюджета, не обеспеченных ст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>абильными доходными источниками.</w:t>
      </w:r>
    </w:p>
    <w:p w:rsidR="008534CE" w:rsidRPr="00550F6F" w:rsidRDefault="008534CE" w:rsidP="00550F6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6F">
        <w:rPr>
          <w:rFonts w:ascii="Times New Roman" w:eastAsia="Times New Roman" w:hAnsi="Times New Roman" w:cs="Times New Roman"/>
          <w:sz w:val="28"/>
          <w:szCs w:val="28"/>
        </w:rPr>
        <w:t>Бюджет муниципального образования «Анжеро-Судженский городской округ» за 20</w:t>
      </w:r>
      <w:r w:rsidR="00473769" w:rsidRPr="00550F6F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F95E3E" w:rsidRPr="00550F6F">
        <w:rPr>
          <w:rFonts w:ascii="Times New Roman" w:eastAsia="Times New Roman" w:hAnsi="Times New Roman" w:cs="Times New Roman"/>
          <w:sz w:val="28"/>
          <w:szCs w:val="28"/>
        </w:rPr>
        <w:t>по доходам составил 3</w:t>
      </w:r>
      <w:r w:rsidR="004F0FF3" w:rsidRPr="00550F6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73769" w:rsidRPr="00550F6F">
        <w:rPr>
          <w:rFonts w:ascii="Times New Roman" w:eastAsia="Times New Roman" w:hAnsi="Times New Roman" w:cs="Times New Roman"/>
          <w:sz w:val="28"/>
          <w:szCs w:val="28"/>
        </w:rPr>
        <w:t>299 188,9</w:t>
      </w:r>
      <w:r w:rsidR="00F95E3E" w:rsidRPr="00550F6F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8534CE" w:rsidRPr="00550F6F" w:rsidRDefault="008534CE" w:rsidP="00550F6F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6F">
        <w:rPr>
          <w:rFonts w:ascii="Times New Roman" w:eastAsia="Times New Roman" w:hAnsi="Times New Roman" w:cs="Times New Roman"/>
          <w:sz w:val="28"/>
          <w:szCs w:val="28"/>
        </w:rPr>
        <w:t>Собственная база местного бюджета (с учетом прочих безвозмездных поступлений</w:t>
      </w:r>
      <w:r w:rsidR="007109B7" w:rsidRPr="00550F6F">
        <w:rPr>
          <w:rFonts w:ascii="Times New Roman" w:eastAsia="Times New Roman" w:hAnsi="Times New Roman" w:cs="Times New Roman"/>
          <w:sz w:val="28"/>
          <w:szCs w:val="28"/>
        </w:rPr>
        <w:t xml:space="preserve"> и безвозмездных поступлений от негосударственных организаций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>) выполнена к годовому плану на 10</w:t>
      </w:r>
      <w:r w:rsidR="004F0FF3" w:rsidRPr="00550F6F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4F0FF3" w:rsidRPr="00550F6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% и составила </w:t>
      </w:r>
      <w:r w:rsidR="001359EF" w:rsidRPr="00550F6F">
        <w:rPr>
          <w:rFonts w:ascii="Times New Roman" w:eastAsia="Times New Roman" w:hAnsi="Times New Roman" w:cs="Times New Roman"/>
          <w:sz w:val="28"/>
          <w:szCs w:val="28"/>
        </w:rPr>
        <w:t>611366,9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  <w:r w:rsidRPr="00550F6F">
        <w:rPr>
          <w:rFonts w:ascii="Times New Roman" w:hAnsi="Times New Roman" w:cs="Times New Roman"/>
          <w:sz w:val="28"/>
          <w:szCs w:val="28"/>
        </w:rPr>
        <w:t xml:space="preserve"> 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>Налоговые</w:t>
      </w:r>
      <w:r w:rsidR="00B33315" w:rsidRPr="00550F6F">
        <w:rPr>
          <w:rFonts w:ascii="Times New Roman" w:eastAsia="Times New Roman" w:hAnsi="Times New Roman" w:cs="Times New Roman"/>
          <w:sz w:val="28"/>
          <w:szCs w:val="28"/>
        </w:rPr>
        <w:t xml:space="preserve"> и неналоговые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 доходы составили </w:t>
      </w:r>
      <w:r w:rsidR="004F0FF3" w:rsidRPr="00550F6F">
        <w:rPr>
          <w:rFonts w:ascii="Times New Roman" w:eastAsia="Times New Roman" w:hAnsi="Times New Roman" w:cs="Times New Roman"/>
          <w:sz w:val="28"/>
          <w:szCs w:val="28"/>
        </w:rPr>
        <w:t>6</w:t>
      </w:r>
      <w:r w:rsidR="001359EF" w:rsidRPr="00550F6F">
        <w:rPr>
          <w:rFonts w:ascii="Times New Roman" w:eastAsia="Times New Roman" w:hAnsi="Times New Roman" w:cs="Times New Roman"/>
          <w:sz w:val="28"/>
          <w:szCs w:val="28"/>
        </w:rPr>
        <w:t>06300,7</w:t>
      </w:r>
      <w:r w:rsidR="009A0534" w:rsidRPr="00550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тыс. рублей. </w:t>
      </w:r>
    </w:p>
    <w:p w:rsidR="00B04D35" w:rsidRPr="00550F6F" w:rsidRDefault="00034216" w:rsidP="00550F6F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0F6F">
        <w:rPr>
          <w:rFonts w:ascii="Times New Roman" w:eastAsia="Times New Roman" w:hAnsi="Times New Roman" w:cs="Times New Roman"/>
          <w:sz w:val="28"/>
          <w:szCs w:val="28"/>
        </w:rPr>
        <w:t>Постоянный</w:t>
      </w:r>
      <w:r w:rsidR="00B04D35" w:rsidRPr="00550F6F">
        <w:rPr>
          <w:rFonts w:ascii="Times New Roman" w:eastAsia="Times New Roman" w:hAnsi="Times New Roman" w:cs="Times New Roman"/>
          <w:sz w:val="28"/>
          <w:szCs w:val="28"/>
        </w:rPr>
        <w:t xml:space="preserve"> мониторинг налоговых и неналоговых поступлений в бюджет 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B04D35" w:rsidRPr="00550F6F">
        <w:rPr>
          <w:rFonts w:ascii="Times New Roman" w:eastAsia="Times New Roman" w:hAnsi="Times New Roman" w:cs="Times New Roman"/>
          <w:sz w:val="28"/>
          <w:szCs w:val="28"/>
        </w:rPr>
        <w:t xml:space="preserve">, проводимый работниками управления, оперативное взаимодействие с администраторами поступлений в </w:t>
      </w:r>
      <w:r w:rsidR="0042051B" w:rsidRPr="00550F6F">
        <w:rPr>
          <w:rFonts w:ascii="Times New Roman" w:eastAsia="Times New Roman" w:hAnsi="Times New Roman" w:cs="Times New Roman"/>
          <w:sz w:val="28"/>
          <w:szCs w:val="28"/>
        </w:rPr>
        <w:t xml:space="preserve">местный </w:t>
      </w:r>
      <w:r w:rsidR="00B04D35" w:rsidRPr="00550F6F">
        <w:rPr>
          <w:rFonts w:ascii="Times New Roman" w:eastAsia="Times New Roman" w:hAnsi="Times New Roman" w:cs="Times New Roman"/>
          <w:sz w:val="28"/>
          <w:szCs w:val="28"/>
        </w:rPr>
        <w:t xml:space="preserve">бюджет, структурными подразделениями администрации 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>Анжеро-Судженского городского округа</w:t>
      </w:r>
      <w:r w:rsidR="00B04D35" w:rsidRPr="00550F6F">
        <w:rPr>
          <w:rFonts w:ascii="Times New Roman" w:eastAsia="Times New Roman" w:hAnsi="Times New Roman" w:cs="Times New Roman"/>
          <w:sz w:val="28"/>
          <w:szCs w:val="28"/>
        </w:rPr>
        <w:t>, управлением Федерального казначейства позволили своевременно реагировать на динамику поступлений в течени</w:t>
      </w:r>
      <w:r w:rsidR="0042051B" w:rsidRPr="00550F6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04D35" w:rsidRPr="00550F6F">
        <w:rPr>
          <w:rFonts w:ascii="Times New Roman" w:eastAsia="Times New Roman" w:hAnsi="Times New Roman" w:cs="Times New Roman"/>
          <w:sz w:val="28"/>
          <w:szCs w:val="28"/>
        </w:rPr>
        <w:t xml:space="preserve"> года и принимать эффективные меры по мобилизации доходов в бюджет </w:t>
      </w:r>
      <w:r w:rsidR="0042051B" w:rsidRPr="00550F6F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B04D35" w:rsidRPr="00550F6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0F4161" w:rsidRPr="00550F6F" w:rsidRDefault="000F4161" w:rsidP="00550F6F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4161" w:rsidRPr="00550F6F" w:rsidRDefault="000F4161" w:rsidP="00550F6F">
      <w:pPr>
        <w:spacing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lastRenderedPageBreak/>
        <w:t xml:space="preserve">Ранее оценка эффективности налоговых льгот проводилась в соответствии постановлением администрации Анжеро-Судженского городского округа от 02.04.2012 № 312 «Об утверждении Порядка и Методики оценки эффективности предоставленных (планируемых к предоставлению) налоговых льгот по местным налогам в муниципальном образовании «Анжеро-Судженский городской округ»». Данное распоряжение утратило силу с 15.04.2020 (постановление администрации Анжеро-Судженского городского округа от 15.04.2012 № 319). Постановлением администрации Анжеро-Судженского городского округа от 25.03.2020 № 246 «Об утверждении Положения о формировании перечня налоговых расходов и оценке налоговых расходов муниципального образовании «Анжеро-Судженский городской округ» утвержден новый порядок оценки налоговых расходов. В соответствии с постановлением, кураторы налоговых расходов городского округа ежегодно до 25 апреля представляют результаты оценки эффективности налоговых расходов городского округа за год, предшествующий </w:t>
      </w:r>
      <w:proofErr w:type="gramStart"/>
      <w:r w:rsidRPr="00550F6F">
        <w:rPr>
          <w:rFonts w:ascii="Times New Roman" w:hAnsi="Times New Roman" w:cs="Times New Roman"/>
          <w:sz w:val="28"/>
          <w:szCs w:val="28"/>
        </w:rPr>
        <w:t>отчетному</w:t>
      </w:r>
      <w:proofErr w:type="gramEnd"/>
      <w:r w:rsidRPr="00550F6F">
        <w:rPr>
          <w:rFonts w:ascii="Times New Roman" w:hAnsi="Times New Roman" w:cs="Times New Roman"/>
          <w:sz w:val="28"/>
          <w:szCs w:val="28"/>
        </w:rPr>
        <w:t xml:space="preserve">, на основании сведений о выпадающих доходах, представленных МРИ ФНС №9 по КО. Финансовое управление ежегодно до 01 июня обобщает результаты оценки налоговых расходов городского округа в виде сводного отчета об оценке налоговых расходов городского округа. </w:t>
      </w:r>
    </w:p>
    <w:p w:rsidR="000F4161" w:rsidRPr="00550F6F" w:rsidRDefault="000F4161" w:rsidP="00550F6F">
      <w:pPr>
        <w:spacing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Оценка налоговых расходов за 2018 год проведена в июне 2020 года</w:t>
      </w:r>
      <w:r w:rsidR="00ED12CD" w:rsidRPr="00550F6F">
        <w:rPr>
          <w:rFonts w:ascii="Times New Roman" w:hAnsi="Times New Roman" w:cs="Times New Roman"/>
          <w:sz w:val="28"/>
          <w:szCs w:val="28"/>
        </w:rPr>
        <w:t xml:space="preserve"> кураторами</w:t>
      </w:r>
      <w:r w:rsidRPr="00550F6F">
        <w:rPr>
          <w:rFonts w:ascii="Times New Roman" w:hAnsi="Times New Roman" w:cs="Times New Roman"/>
          <w:sz w:val="28"/>
          <w:szCs w:val="28"/>
        </w:rPr>
        <w:t xml:space="preserve"> на</w:t>
      </w:r>
      <w:r w:rsidR="00ED12CD" w:rsidRPr="00550F6F">
        <w:rPr>
          <w:rFonts w:ascii="Times New Roman" w:hAnsi="Times New Roman" w:cs="Times New Roman"/>
          <w:sz w:val="28"/>
          <w:szCs w:val="28"/>
        </w:rPr>
        <w:t>логовых расходов - ответственными исполнителями муниципальных программ, органами</w:t>
      </w:r>
      <w:r w:rsidRPr="00550F6F">
        <w:rPr>
          <w:rFonts w:ascii="Times New Roman" w:hAnsi="Times New Roman" w:cs="Times New Roman"/>
          <w:sz w:val="28"/>
          <w:szCs w:val="28"/>
        </w:rPr>
        <w:t xml:space="preserve"> исполнительной власти Анжеро-Судженского </w:t>
      </w:r>
      <w:r w:rsidR="00ED12CD" w:rsidRPr="00550F6F">
        <w:rPr>
          <w:rFonts w:ascii="Times New Roman" w:hAnsi="Times New Roman" w:cs="Times New Roman"/>
          <w:sz w:val="28"/>
          <w:szCs w:val="28"/>
        </w:rPr>
        <w:t>городского округа, ответственными</w:t>
      </w:r>
      <w:r w:rsidRPr="00550F6F">
        <w:rPr>
          <w:rFonts w:ascii="Times New Roman" w:hAnsi="Times New Roman" w:cs="Times New Roman"/>
          <w:sz w:val="28"/>
          <w:szCs w:val="28"/>
        </w:rPr>
        <w:t xml:space="preserve"> за достижение целей социально-эк</w:t>
      </w:r>
      <w:r w:rsidR="00ED12CD" w:rsidRPr="00550F6F">
        <w:rPr>
          <w:rFonts w:ascii="Times New Roman" w:hAnsi="Times New Roman" w:cs="Times New Roman"/>
          <w:sz w:val="28"/>
          <w:szCs w:val="28"/>
        </w:rPr>
        <w:t>ономической политики, финансовым</w:t>
      </w:r>
      <w:r w:rsidRPr="00550F6F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ED12CD" w:rsidRPr="00550F6F">
        <w:rPr>
          <w:rFonts w:ascii="Times New Roman" w:hAnsi="Times New Roman" w:cs="Times New Roman"/>
          <w:sz w:val="28"/>
          <w:szCs w:val="28"/>
        </w:rPr>
        <w:t>м</w:t>
      </w:r>
      <w:r w:rsidRPr="00550F6F">
        <w:rPr>
          <w:rFonts w:ascii="Times New Roman" w:hAnsi="Times New Roman" w:cs="Times New Roman"/>
          <w:sz w:val="28"/>
          <w:szCs w:val="28"/>
        </w:rPr>
        <w:t xml:space="preserve"> города Анжеро-Судженска.</w:t>
      </w:r>
    </w:p>
    <w:p w:rsidR="000F4161" w:rsidRPr="00550F6F" w:rsidRDefault="000F4161" w:rsidP="00550F6F">
      <w:pPr>
        <w:pStyle w:val="22"/>
        <w:shd w:val="clear" w:color="auto" w:fill="auto"/>
        <w:spacing w:line="240" w:lineRule="auto"/>
        <w:ind w:firstLine="7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 xml:space="preserve">Сведения о выпадающих доходах бюджета Кемеровской области в 2018 году приведены на основании данных МРИ ФНС №9 по </w:t>
      </w:r>
      <w:proofErr w:type="gramStart"/>
      <w:r w:rsidRPr="00550F6F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550F6F">
        <w:rPr>
          <w:rFonts w:ascii="Times New Roman" w:hAnsi="Times New Roman" w:cs="Times New Roman"/>
          <w:sz w:val="28"/>
          <w:szCs w:val="28"/>
        </w:rPr>
        <w:t xml:space="preserve"> по состоянию на 27.02.2020. </w:t>
      </w:r>
      <w:r w:rsidR="00ED12CD" w:rsidRPr="00550F6F">
        <w:rPr>
          <w:rFonts w:ascii="Times New Roman" w:hAnsi="Times New Roman" w:cs="Times New Roman"/>
          <w:sz w:val="28"/>
          <w:szCs w:val="28"/>
        </w:rPr>
        <w:t xml:space="preserve">Выпадающие доходы бюджета муниципального образования «Анжеро-Судженский городской округ», связанные с предоставлением налоговых расходов в 2018 году, составили 30 605,0 тыс. рублей. </w:t>
      </w:r>
      <w:r w:rsidRPr="00550F6F">
        <w:rPr>
          <w:rFonts w:ascii="Times New Roman" w:hAnsi="Times New Roman" w:cs="Times New Roman"/>
          <w:sz w:val="28"/>
          <w:szCs w:val="28"/>
        </w:rPr>
        <w:t>Протоколом заседания финансово-экономической комиссии Анжеро-Судженского городского округа от 30.06.2020г. принято решение:</w:t>
      </w:r>
    </w:p>
    <w:p w:rsidR="000F4161" w:rsidRPr="00550F6F" w:rsidRDefault="000F4161" w:rsidP="00550F6F">
      <w:pPr>
        <w:pStyle w:val="22"/>
        <w:shd w:val="clear" w:color="auto" w:fill="auto"/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В соответствии с проведенной оценкой эффективности местных налоговы</w:t>
      </w:r>
      <w:r w:rsidR="00ED12CD" w:rsidRPr="00550F6F">
        <w:rPr>
          <w:rFonts w:ascii="Times New Roman" w:hAnsi="Times New Roman" w:cs="Times New Roman"/>
          <w:sz w:val="28"/>
          <w:szCs w:val="28"/>
        </w:rPr>
        <w:t>х расходов за 2018 год, признаны</w:t>
      </w:r>
      <w:r w:rsidRPr="00550F6F">
        <w:rPr>
          <w:rFonts w:ascii="Times New Roman" w:hAnsi="Times New Roman" w:cs="Times New Roman"/>
          <w:sz w:val="28"/>
          <w:szCs w:val="28"/>
        </w:rPr>
        <w:t xml:space="preserve"> эффективными </w:t>
      </w:r>
      <w:r w:rsidR="00D454F6" w:rsidRPr="00550F6F">
        <w:rPr>
          <w:rFonts w:ascii="Times New Roman" w:hAnsi="Times New Roman" w:cs="Times New Roman"/>
          <w:sz w:val="28"/>
          <w:szCs w:val="28"/>
        </w:rPr>
        <w:t>расходы</w:t>
      </w:r>
      <w:r w:rsidRPr="00550F6F">
        <w:rPr>
          <w:rFonts w:ascii="Times New Roman" w:hAnsi="Times New Roman" w:cs="Times New Roman"/>
          <w:sz w:val="28"/>
          <w:szCs w:val="28"/>
        </w:rPr>
        <w:t>, установленные:</w:t>
      </w:r>
    </w:p>
    <w:p w:rsidR="000F4161" w:rsidRPr="00550F6F" w:rsidRDefault="000F4161" w:rsidP="00550F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 xml:space="preserve">- решением Анжеро-Судженского городского Совета народных депутатов от 26.08.2010. № 521 "Об установлении земельного налога на территории Анжеро-Судженского городского округа" (с изм. и доп., </w:t>
      </w:r>
      <w:proofErr w:type="gramStart"/>
      <w:r w:rsidRPr="00550F6F">
        <w:rPr>
          <w:rFonts w:ascii="Times New Roman" w:hAnsi="Times New Roman" w:cs="Times New Roman"/>
          <w:sz w:val="28"/>
          <w:szCs w:val="28"/>
        </w:rPr>
        <w:t>вступившими</w:t>
      </w:r>
      <w:proofErr w:type="gramEnd"/>
      <w:r w:rsidRPr="00550F6F">
        <w:rPr>
          <w:rFonts w:ascii="Times New Roman" w:hAnsi="Times New Roman" w:cs="Times New Roman"/>
          <w:sz w:val="28"/>
          <w:szCs w:val="28"/>
        </w:rPr>
        <w:t xml:space="preserve"> в силу с 01.01.2020), за исключением не востребованных категорий льгот:</w:t>
      </w:r>
    </w:p>
    <w:p w:rsidR="000F4161" w:rsidRPr="00550F6F" w:rsidRDefault="000F4161" w:rsidP="00550F6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 xml:space="preserve"> члены семей военнослужащих, уволенных с военной службы по достижении предельного возраста пребывания на военной службе, по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:rsidR="000F4161" w:rsidRPr="00550F6F" w:rsidRDefault="000F4161" w:rsidP="00550F6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lastRenderedPageBreak/>
        <w:t>председатели уличных комитетов;</w:t>
      </w:r>
    </w:p>
    <w:p w:rsidR="000F4161" w:rsidRPr="00550F6F" w:rsidRDefault="000F4161" w:rsidP="00550F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 xml:space="preserve">- решением Анжеро-Судженского городского Совета народных депутатов от 24.11.2015 № 389 "Об установлении на территории муниципального образования Анжеро-Судженский городской округ налога на имущества физических лиц" (с изм. и доп., </w:t>
      </w:r>
      <w:proofErr w:type="gramStart"/>
      <w:r w:rsidRPr="00550F6F">
        <w:rPr>
          <w:rFonts w:ascii="Times New Roman" w:hAnsi="Times New Roman" w:cs="Times New Roman"/>
          <w:sz w:val="28"/>
          <w:szCs w:val="28"/>
        </w:rPr>
        <w:t>вступившими</w:t>
      </w:r>
      <w:proofErr w:type="gramEnd"/>
      <w:r w:rsidRPr="00550F6F">
        <w:rPr>
          <w:rFonts w:ascii="Times New Roman" w:hAnsi="Times New Roman" w:cs="Times New Roman"/>
          <w:sz w:val="28"/>
          <w:szCs w:val="28"/>
        </w:rPr>
        <w:t xml:space="preserve"> в силу с 29.10.2019), за исключением не востребованных категорий льгот:</w:t>
      </w:r>
    </w:p>
    <w:p w:rsidR="000F4161" w:rsidRPr="00550F6F" w:rsidRDefault="000F4161" w:rsidP="00550F6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председатели домовых и уличных комитетов, председатели советов многоквартирных домов.</w:t>
      </w:r>
    </w:p>
    <w:p w:rsidR="000F4161" w:rsidRPr="00550F6F" w:rsidRDefault="000F4161" w:rsidP="00550F6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F6F">
        <w:rPr>
          <w:rFonts w:ascii="Times New Roman" w:hAnsi="Times New Roman" w:cs="Times New Roman"/>
          <w:sz w:val="28"/>
          <w:szCs w:val="28"/>
        </w:rPr>
        <w:t>В связи с проведением оценки налоговых расходов Финансовым управлением города Анжеро-Судженска, на основании которых установлено, что льгота по земельному налогу для категории - «председатели уличных комитетов» и льгота по налогу на имущество физических лиц для категории - «председатели домовых и уличных комитетов, председатели советов многоквартирных домов» остаются невостребованными за период с 2013 по 2018 гг., Советом народных депутатов Анжеро-Судженского городского округа были</w:t>
      </w:r>
      <w:proofErr w:type="gramEnd"/>
      <w:r w:rsidRPr="00550F6F">
        <w:rPr>
          <w:rFonts w:ascii="Times New Roman" w:hAnsi="Times New Roman" w:cs="Times New Roman"/>
          <w:sz w:val="28"/>
          <w:szCs w:val="28"/>
        </w:rPr>
        <w:t xml:space="preserve"> рассмотрены проекты решений: </w:t>
      </w:r>
      <w:proofErr w:type="gramStart"/>
      <w:r w:rsidRPr="00550F6F">
        <w:rPr>
          <w:rFonts w:ascii="Times New Roman" w:hAnsi="Times New Roman" w:cs="Times New Roman"/>
          <w:sz w:val="28"/>
          <w:szCs w:val="28"/>
        </w:rPr>
        <w:t>«О внесении изменений в решение Совета народных депутатов Анжеро-Судженского городского округа от 26.08.2010г. №521 «Об установлении земельного налога на территории Анжеро-Судженского городского округа» и «О внесении изменений в решение Совета народных депутатов Анжеро-Судженского городского округа от 24.11.2015г. №389 «Об установлении на территории муниципального образования «Анжеро-Судженский городской округ» на депутатских слушаниях.</w:t>
      </w:r>
      <w:proofErr w:type="gramEnd"/>
      <w:r w:rsidRPr="00550F6F">
        <w:rPr>
          <w:rFonts w:ascii="Times New Roman" w:hAnsi="Times New Roman" w:cs="Times New Roman"/>
          <w:sz w:val="28"/>
          <w:szCs w:val="28"/>
        </w:rPr>
        <w:t xml:space="preserve">  При изучении данных проектов, депутаты пришли к выводу о </w:t>
      </w:r>
      <w:proofErr w:type="spellStart"/>
      <w:r w:rsidRPr="00550F6F">
        <w:rPr>
          <w:rFonts w:ascii="Times New Roman" w:hAnsi="Times New Roman" w:cs="Times New Roman"/>
          <w:sz w:val="28"/>
          <w:szCs w:val="28"/>
        </w:rPr>
        <w:t>неинформированности</w:t>
      </w:r>
      <w:proofErr w:type="spellEnd"/>
      <w:r w:rsidRPr="00550F6F">
        <w:rPr>
          <w:rFonts w:ascii="Times New Roman" w:hAnsi="Times New Roman" w:cs="Times New Roman"/>
          <w:sz w:val="28"/>
          <w:szCs w:val="28"/>
        </w:rPr>
        <w:t xml:space="preserve"> председателей советов МКД </w:t>
      </w:r>
      <w:proofErr w:type="gramStart"/>
      <w:r w:rsidRPr="00550F6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50F6F">
        <w:rPr>
          <w:rFonts w:ascii="Times New Roman" w:hAnsi="Times New Roman" w:cs="Times New Roman"/>
          <w:sz w:val="28"/>
          <w:szCs w:val="28"/>
        </w:rPr>
        <w:t xml:space="preserve"> имеющейся возможности воспользоваться льготами. Также, остался открытым вопрос о существовании статуса председателей уличных комитетов, процедуре их избрания, наличии документов, регламентирующих их работу. В связи с </w:t>
      </w:r>
      <w:proofErr w:type="gramStart"/>
      <w:r w:rsidRPr="00550F6F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550F6F">
        <w:rPr>
          <w:rFonts w:ascii="Times New Roman" w:hAnsi="Times New Roman" w:cs="Times New Roman"/>
          <w:sz w:val="28"/>
          <w:szCs w:val="28"/>
        </w:rPr>
        <w:t xml:space="preserve">, депутаты решили подготовить информацию для Межрайоной инспекции Федеральной налоговой службы №9 по Кемеровской области о председателях советов многоквартирных домов и провести работу среди председателей советов МКД по информированию о возможности получить льготы по земельному налогу и налогу на имущество физических лиц. </w:t>
      </w:r>
      <w:proofErr w:type="gramStart"/>
      <w:r w:rsidRPr="00550F6F">
        <w:rPr>
          <w:rFonts w:ascii="Times New Roman" w:hAnsi="Times New Roman" w:cs="Times New Roman"/>
          <w:sz w:val="28"/>
          <w:szCs w:val="28"/>
        </w:rPr>
        <w:t>На основании проведенной работы Советом народных депутатов Анжеро-Судженского городского округа в 2021 году принято решение данные налоговые льготы рекомендовать к сохранению, а также дополнительно проинформировать председателей домовых и уличных комитетов, председателей советов многоквартирных домов о возможности получения ими налоговых льгот, так как анализируемые налоговые расходы имеют исключительно социальную эффективность, позволяющую повысить социальную защищенность данных категорий граждан.</w:t>
      </w:r>
      <w:proofErr w:type="gramEnd"/>
      <w:r w:rsidRPr="00550F6F">
        <w:rPr>
          <w:rFonts w:ascii="Times New Roman" w:hAnsi="Times New Roman" w:cs="Times New Roman"/>
          <w:sz w:val="28"/>
          <w:szCs w:val="28"/>
        </w:rPr>
        <w:t xml:space="preserve"> Применение налогового расхода способствуют снижению налогового бремени населения, повышению уровня и качества жизни граждан, снижению социального неравенства, что соответствует направлению социально-экономической политики Анжеро-Судженского городского округа. Вместе с тем данные налоговые расходы в перспективе позволят также повысить долю граждан, имеющих активную жизненную позицию и принимающих непосредственное участие в решении вопросов развития городской среды.</w:t>
      </w:r>
    </w:p>
    <w:p w:rsidR="000F4161" w:rsidRPr="00550F6F" w:rsidRDefault="000F4161" w:rsidP="00550F6F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BA6" w:rsidRPr="00550F6F" w:rsidRDefault="00AB03A7" w:rsidP="00550F6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Расходы местного бюджета за 20</w:t>
      </w:r>
      <w:r w:rsidR="00CC5BA6" w:rsidRPr="00550F6F">
        <w:rPr>
          <w:rFonts w:ascii="Times New Roman" w:hAnsi="Times New Roman" w:cs="Times New Roman"/>
          <w:sz w:val="28"/>
          <w:szCs w:val="28"/>
        </w:rPr>
        <w:t>20</w:t>
      </w:r>
      <w:r w:rsidR="00473A4D" w:rsidRPr="00550F6F">
        <w:rPr>
          <w:rFonts w:ascii="Times New Roman" w:hAnsi="Times New Roman" w:cs="Times New Roman"/>
          <w:sz w:val="28"/>
          <w:szCs w:val="28"/>
        </w:rPr>
        <w:t xml:space="preserve"> год составили 3</w:t>
      </w:r>
      <w:r w:rsidR="00CC5BA6" w:rsidRPr="00550F6F">
        <w:rPr>
          <w:rFonts w:ascii="Times New Roman" w:hAnsi="Times New Roman" w:cs="Times New Roman"/>
          <w:sz w:val="28"/>
          <w:szCs w:val="28"/>
        </w:rPr>
        <w:t> 301 589,5</w:t>
      </w:r>
      <w:r w:rsidRPr="00550F6F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CC5BA6" w:rsidRPr="00550F6F">
        <w:rPr>
          <w:rFonts w:ascii="Times New Roman" w:hAnsi="Times New Roman" w:cs="Times New Roman"/>
          <w:sz w:val="28"/>
          <w:szCs w:val="28"/>
        </w:rPr>
        <w:t>что выше расходов прошлого года на 427 407,3 тыс. рублей или на 12,9 %. Исполнение к первоначальному плану составило 104,9 %, к уточненному плану – 97,1 %.</w:t>
      </w:r>
    </w:p>
    <w:p w:rsidR="00CC5BA6" w:rsidRPr="00550F6F" w:rsidRDefault="00CC5BA6" w:rsidP="00550F6F">
      <w:pPr>
        <w:pStyle w:val="a5"/>
        <w:ind w:firstLine="720"/>
        <w:rPr>
          <w:szCs w:val="28"/>
        </w:rPr>
      </w:pPr>
      <w:proofErr w:type="gramStart"/>
      <w:r w:rsidRPr="00550F6F">
        <w:rPr>
          <w:szCs w:val="28"/>
        </w:rPr>
        <w:t>Как и в предыдущем году, наибольшая доля расходов бюджета приходится на образование (41,4%), социальную политику (23,8%), жилищно-коммунальное хозяйство 19,7%), общегосударственные вопросы (4,6%), и далее идут: культура (3,5%), национальная экономика (3,4), физкультура (2,9%).</w:t>
      </w:r>
      <w:proofErr w:type="gramEnd"/>
      <w:r w:rsidRPr="00550F6F">
        <w:rPr>
          <w:szCs w:val="28"/>
        </w:rPr>
        <w:t xml:space="preserve"> Менее 1% в доле расходов приходится на национальную безопасность и правоохранительную деятельность (0,5%), средства массовой информации (0,2%), обслуживание государственного и муниципального долга (0,1%). На финансирование отраслей социальной направленности, к которым относятся образование, культура, социальная политика, спорт было направлено 2368,4 млн. руб., это 71,6% от общего объема.</w:t>
      </w:r>
    </w:p>
    <w:p w:rsidR="00CC5BA6" w:rsidRPr="00550F6F" w:rsidRDefault="00CC5BA6" w:rsidP="00550F6F">
      <w:pPr>
        <w:pStyle w:val="a5"/>
        <w:ind w:firstLine="720"/>
        <w:rPr>
          <w:szCs w:val="28"/>
        </w:rPr>
      </w:pPr>
      <w:r w:rsidRPr="00550F6F">
        <w:rPr>
          <w:szCs w:val="28"/>
        </w:rPr>
        <w:t>На финансирование направлений экономического характера, к которым относятся разделы «Национальная экономика», «Жилищно-коммунальное хозяйство» было направлено 762,9 млн. руб., их доля в расходах – 23,1%.</w:t>
      </w:r>
    </w:p>
    <w:p w:rsidR="00CC5BA6" w:rsidRPr="00550F6F" w:rsidRDefault="00CC5BA6" w:rsidP="00550F6F">
      <w:pPr>
        <w:pStyle w:val="a5"/>
        <w:ind w:firstLine="720"/>
        <w:rPr>
          <w:szCs w:val="28"/>
        </w:rPr>
      </w:pPr>
      <w:r w:rsidRPr="00550F6F">
        <w:rPr>
          <w:szCs w:val="28"/>
        </w:rPr>
        <w:t>По прочим разделам профинансировано:</w:t>
      </w:r>
    </w:p>
    <w:p w:rsidR="00CC5BA6" w:rsidRPr="00550F6F" w:rsidRDefault="00CC5BA6" w:rsidP="00550F6F">
      <w:pPr>
        <w:pStyle w:val="a5"/>
        <w:ind w:firstLine="720"/>
        <w:rPr>
          <w:szCs w:val="28"/>
        </w:rPr>
      </w:pPr>
      <w:r w:rsidRPr="00550F6F">
        <w:rPr>
          <w:szCs w:val="28"/>
        </w:rPr>
        <w:t>- на решение «Общегосударственные вопросы» - 150,7 млн. руб., в общем объеме занимают- 4,6%, (83,2% к уровню прошлого года);</w:t>
      </w:r>
    </w:p>
    <w:p w:rsidR="00CC5BA6" w:rsidRPr="00550F6F" w:rsidRDefault="00CC5BA6" w:rsidP="00550F6F">
      <w:pPr>
        <w:pStyle w:val="a5"/>
        <w:ind w:firstLine="720"/>
        <w:rPr>
          <w:szCs w:val="28"/>
        </w:rPr>
      </w:pPr>
      <w:r w:rsidRPr="00550F6F">
        <w:rPr>
          <w:szCs w:val="28"/>
        </w:rPr>
        <w:t>- по разделу «Национальная безопасность и правоохранительная деятельность» - 16,1 млн. руб. – 0,5% в общем объеме, в 1,3 раза больше уровня прошлого года.</w:t>
      </w:r>
    </w:p>
    <w:p w:rsidR="00CC5BA6" w:rsidRPr="00550F6F" w:rsidRDefault="00CC5BA6" w:rsidP="00550F6F">
      <w:pPr>
        <w:pStyle w:val="a5"/>
        <w:ind w:firstLine="720"/>
        <w:rPr>
          <w:szCs w:val="28"/>
        </w:rPr>
      </w:pPr>
      <w:r w:rsidRPr="00550F6F">
        <w:rPr>
          <w:szCs w:val="28"/>
        </w:rPr>
        <w:t xml:space="preserve">- расходы на «Средства массовой информации» - 1,6 </w:t>
      </w:r>
      <w:proofErr w:type="spellStart"/>
      <w:r w:rsidRPr="00550F6F">
        <w:rPr>
          <w:szCs w:val="28"/>
        </w:rPr>
        <w:t>млн</w:t>
      </w:r>
      <w:proofErr w:type="gramStart"/>
      <w:r w:rsidRPr="00550F6F">
        <w:rPr>
          <w:szCs w:val="28"/>
        </w:rPr>
        <w:t>.р</w:t>
      </w:r>
      <w:proofErr w:type="gramEnd"/>
      <w:r w:rsidRPr="00550F6F">
        <w:rPr>
          <w:szCs w:val="28"/>
        </w:rPr>
        <w:t>уб</w:t>
      </w:r>
      <w:proofErr w:type="spellEnd"/>
      <w:r w:rsidRPr="00550F6F">
        <w:rPr>
          <w:szCs w:val="28"/>
        </w:rPr>
        <w:t>. – 0,2% в общем объеме, по сравнению с 2019 годом увеличились в 1,6 раза.</w:t>
      </w:r>
    </w:p>
    <w:p w:rsidR="00CC5BA6" w:rsidRPr="00550F6F" w:rsidRDefault="00CC5BA6" w:rsidP="00550F6F">
      <w:pPr>
        <w:pStyle w:val="a5"/>
        <w:ind w:firstLine="720"/>
        <w:rPr>
          <w:szCs w:val="28"/>
        </w:rPr>
      </w:pPr>
      <w:r w:rsidRPr="00550F6F">
        <w:rPr>
          <w:szCs w:val="28"/>
        </w:rPr>
        <w:t xml:space="preserve">- финансирование на «Обслуживание государственного и муниципального долга» - 1,9 млн. руб. - 0,1% в общем объеме.   Исполнение произведено </w:t>
      </w:r>
      <w:proofErr w:type="gramStart"/>
      <w:r w:rsidRPr="00550F6F">
        <w:rPr>
          <w:szCs w:val="28"/>
        </w:rPr>
        <w:t>согласно</w:t>
      </w:r>
      <w:proofErr w:type="gramEnd"/>
      <w:r w:rsidRPr="00550F6F">
        <w:rPr>
          <w:szCs w:val="28"/>
        </w:rPr>
        <w:t xml:space="preserve"> фактических расходов.</w:t>
      </w:r>
    </w:p>
    <w:p w:rsidR="00CC5BA6" w:rsidRPr="00550F6F" w:rsidRDefault="00CC5BA6" w:rsidP="00550F6F">
      <w:pPr>
        <w:pStyle w:val="a5"/>
        <w:ind w:firstLine="567"/>
        <w:rPr>
          <w:bCs/>
          <w:i/>
          <w:szCs w:val="28"/>
        </w:rPr>
      </w:pPr>
      <w:r w:rsidRPr="00550F6F">
        <w:rPr>
          <w:szCs w:val="28"/>
        </w:rPr>
        <w:t>В 2020 году расходы на оплату труда работников муниципальных учреждений составили 1 637 849,8 тыс. рублей или 49,6 % от общей суммы расходов. По сравнению с 2019 годом на выплату заработной платы было направлено больше на 74 291,8 тыс. рублей или на 4,5 %.</w:t>
      </w:r>
    </w:p>
    <w:p w:rsidR="00CC5BA6" w:rsidRPr="00550F6F" w:rsidRDefault="00CC5BA6" w:rsidP="00550F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 xml:space="preserve">За 2020 год произошло увеличение ФОТ по всем бюджетным учреждениям: повышение МРОТ до уровня 15 769 рублей с 1 января 2020 года  (ст.1 Федерального закона от 27.12.2019 № 463-ФЗ); повышение  с 1 января 2020 года на 3,8%, в соответствии с постановлением Правительства Кемеровской области-Кузбасса  </w:t>
      </w:r>
      <w:proofErr w:type="gramStart"/>
      <w:r w:rsidRPr="00550F6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50F6F">
        <w:rPr>
          <w:rFonts w:ascii="Times New Roman" w:hAnsi="Times New Roman" w:cs="Times New Roman"/>
          <w:sz w:val="28"/>
          <w:szCs w:val="28"/>
        </w:rPr>
        <w:t xml:space="preserve"> 13.12.2019 № 715; </w:t>
      </w:r>
      <w:proofErr w:type="gramStart"/>
      <w:r w:rsidRPr="00550F6F">
        <w:rPr>
          <w:rFonts w:ascii="Times New Roman" w:hAnsi="Times New Roman" w:cs="Times New Roman"/>
          <w:sz w:val="28"/>
          <w:szCs w:val="28"/>
        </w:rPr>
        <w:t>повышение ФОТ по ОМСУ с 1 января 2020 года на 3,8%, в соответствии с постановлением Коллегии Администрации Кемеровской области  от 24.09.2010 № 423 (с изменениями.</w:t>
      </w:r>
      <w:proofErr w:type="gramEnd"/>
    </w:p>
    <w:p w:rsidR="00CC5BA6" w:rsidRPr="00550F6F" w:rsidRDefault="00CC5BA6" w:rsidP="00550F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При этом от собственных доходов на выплату заработной платы направлено 60,3 %.</w:t>
      </w:r>
    </w:p>
    <w:p w:rsidR="00473A4D" w:rsidRPr="00550F6F" w:rsidRDefault="00CC5BA6" w:rsidP="00550F6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lastRenderedPageBreak/>
        <w:t>Как и в предыдущие годы, большая доля расходов пришлась на оплату коммунальных услуг  и угля–  133 537,2 тыс. рублей, больше чем в 2019 году на 2910,5 тыс. рублей или на 2,2 %.</w:t>
      </w:r>
    </w:p>
    <w:p w:rsidR="00CC5BA6" w:rsidRPr="00550F6F" w:rsidRDefault="00CC5BA6" w:rsidP="00550F6F">
      <w:pPr>
        <w:pStyle w:val="a5"/>
        <w:ind w:firstLine="720"/>
        <w:rPr>
          <w:szCs w:val="28"/>
        </w:rPr>
      </w:pPr>
      <w:r w:rsidRPr="00550F6F">
        <w:rPr>
          <w:szCs w:val="28"/>
        </w:rPr>
        <w:t>На постоянном контроле, как и раньше, находились расходы на питание, медикаменты, ГСМ.</w:t>
      </w:r>
    </w:p>
    <w:p w:rsidR="00CC5BA6" w:rsidRPr="00550F6F" w:rsidRDefault="00CC5BA6" w:rsidP="00550F6F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 xml:space="preserve">Расходы на питание в бюджетных учреждениях составили 46581,8 тыс. рублей, в том числе: за счет местного бюджета – 11 795,0 тыс. рублей. Основная сумма расходов пришлась на учреждения образования –  43 921,6 тыс. рублей, из них: 10 135,5 тыс. рублей - было направлено на бесплатное питание школьников из малообеспеченных семей, 6 719,0 тыс. рублей - питание в казенных детских садах и школах, 9 379,5 тыс. рублей - питание в детских домах и интернатах. </w:t>
      </w:r>
      <w:proofErr w:type="gramStart"/>
      <w:r w:rsidRPr="00550F6F">
        <w:rPr>
          <w:rFonts w:ascii="Times New Roman" w:hAnsi="Times New Roman" w:cs="Times New Roman"/>
          <w:sz w:val="28"/>
          <w:szCs w:val="28"/>
        </w:rPr>
        <w:t>С 2019 года организовано обеспечение двухразовым бесплатным питанием обучающихся с ограниченными возможностями здоровья в муниципальных общеобразовательных организациях, на эти цели направлено 1956,9 тыс. руб. С 1 сентября 2020года организовано бесплатное горячее питания обучающихся, получающих начальное общее образование в государственных и муниципальных образовательных организациях, исполнение составило 15730,7 тыс. руб. На питание детей в специализированных учреждениях для несовершеннолетних, нуждающихся в социальной реабилитации</w:t>
      </w:r>
      <w:proofErr w:type="gramEnd"/>
      <w:r w:rsidRPr="00550F6F">
        <w:rPr>
          <w:rFonts w:ascii="Times New Roman" w:hAnsi="Times New Roman" w:cs="Times New Roman"/>
          <w:sz w:val="28"/>
          <w:szCs w:val="28"/>
        </w:rPr>
        <w:t xml:space="preserve">, иных учреждений и </w:t>
      </w:r>
      <w:proofErr w:type="gramStart"/>
      <w:r w:rsidRPr="00550F6F">
        <w:rPr>
          <w:rFonts w:ascii="Times New Roman" w:hAnsi="Times New Roman" w:cs="Times New Roman"/>
          <w:sz w:val="28"/>
          <w:szCs w:val="28"/>
        </w:rPr>
        <w:t>служб, предоставляющих социальные услуги несовершеннолетним и их семьям управлением социальной защиты населения направлено</w:t>
      </w:r>
      <w:proofErr w:type="gramEnd"/>
      <w:r w:rsidRPr="00550F6F">
        <w:rPr>
          <w:rFonts w:ascii="Times New Roman" w:hAnsi="Times New Roman" w:cs="Times New Roman"/>
          <w:sz w:val="28"/>
          <w:szCs w:val="28"/>
        </w:rPr>
        <w:t xml:space="preserve"> 2657,1 тыс. руб. Кроме того, 3,0 тыс. </w:t>
      </w:r>
      <w:proofErr w:type="spellStart"/>
      <w:r w:rsidRPr="00550F6F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550F6F">
        <w:rPr>
          <w:rFonts w:ascii="Times New Roman" w:hAnsi="Times New Roman" w:cs="Times New Roman"/>
          <w:sz w:val="28"/>
          <w:szCs w:val="28"/>
        </w:rPr>
        <w:t xml:space="preserve"> составило исполнение по мероприятиям, проводимым отделом молодежи.</w:t>
      </w:r>
    </w:p>
    <w:p w:rsidR="00CC5BA6" w:rsidRPr="00550F6F" w:rsidRDefault="00CC5BA6" w:rsidP="00550F6F">
      <w:pPr>
        <w:pStyle w:val="a5"/>
        <w:ind w:firstLine="720"/>
        <w:rPr>
          <w:szCs w:val="28"/>
        </w:rPr>
      </w:pPr>
      <w:r w:rsidRPr="00550F6F">
        <w:rPr>
          <w:szCs w:val="28"/>
        </w:rPr>
        <w:t xml:space="preserve">Расходы на медикаменты за счет областного бюджета – 138,7 тыс. рублей, из них 81,8 тыс. руб. - средства управления образования, 56,9 тыс. руб. - средства управления социальной защиты населения (Учреждения для несовершеннолетних). </w:t>
      </w:r>
    </w:p>
    <w:p w:rsidR="00CC5BA6" w:rsidRPr="00550F6F" w:rsidRDefault="00CC5BA6" w:rsidP="00550F6F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На расходы по оплате ГСМ направлено –  8 364,8 тыс. рублей, в том числе за счет средств местного бюджета – 7 516,6 тыс. рублей, что больше на 826,4 тыс. рублей или на 11,0 %, чем в 2019 году; из областного бюджета – 848,2 тыс. рублей.</w:t>
      </w:r>
    </w:p>
    <w:p w:rsidR="00CC5BA6" w:rsidRPr="00550F6F" w:rsidRDefault="00CC5BA6" w:rsidP="00550F6F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5BA6" w:rsidRPr="00550F6F" w:rsidRDefault="00CC5BA6" w:rsidP="00550F6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ab/>
      </w:r>
      <w:r w:rsidRPr="00550F6F">
        <w:rPr>
          <w:rFonts w:ascii="Times New Roman" w:hAnsi="Times New Roman" w:cs="Times New Roman"/>
          <w:b/>
          <w:sz w:val="28"/>
          <w:szCs w:val="28"/>
        </w:rPr>
        <w:t>Расходы бюджета в разрезе финансирования по видам расходов</w:t>
      </w:r>
    </w:p>
    <w:p w:rsidR="00CC5BA6" w:rsidRPr="00550F6F" w:rsidRDefault="00CC5BA6" w:rsidP="00550F6F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F6F">
        <w:rPr>
          <w:rFonts w:ascii="Times New Roman" w:hAnsi="Times New Roman" w:cs="Times New Roman"/>
          <w:sz w:val="28"/>
          <w:szCs w:val="28"/>
        </w:rPr>
        <w:t>Расходы на выплаты персоналу в целях обеспечения выполнения функций муниципальными органами, казенными учреждениями, органами управления составили – 414 881,6 тыс. рублей, в том числе за счет средств: областного бюджета – 235 544,8 тыс. рублей, местного бюджета – 179 336,76 тыс. рублей, из них на иные выплаты персоналу учреждений, за исключением фонда оплаты труда – 1 952,5тыс. рублей.</w:t>
      </w:r>
      <w:proofErr w:type="gramEnd"/>
    </w:p>
    <w:p w:rsidR="00CC5BA6" w:rsidRPr="00550F6F" w:rsidRDefault="00CC5BA6" w:rsidP="00550F6F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lastRenderedPageBreak/>
        <w:t>На закупку товаров, работ и услуг для обеспечения муниципальных нужд направлено – 160 521,5 тыс. рублей, в том числе за счет средств: федерального и областного бюджетов – 74 950,6 тыс. рублей, местного бюджета – 85 570,9 тыс. рублей, из них:</w:t>
      </w:r>
    </w:p>
    <w:p w:rsidR="00CC5BA6" w:rsidRPr="00550F6F" w:rsidRDefault="00CC5BA6" w:rsidP="00550F6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- на закупку товаров, работ, услуг в сфере информационно-коммуникационных технологий – 5 154,9 тыс. рублей;</w:t>
      </w:r>
    </w:p>
    <w:p w:rsidR="00CC5BA6" w:rsidRPr="00550F6F" w:rsidRDefault="00CC5BA6" w:rsidP="00550F6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- на закупку товаров, работ, услуг в целях капитального ремонта муниципального имущества – 19 932,9 тыс. рублей;</w:t>
      </w:r>
    </w:p>
    <w:p w:rsidR="00CC5BA6" w:rsidRPr="00550F6F" w:rsidRDefault="00CC5BA6" w:rsidP="00550F6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-  на прочую закупку товаров, работ и услуг для обеспечения муниципальных нужд – 135 433,7 тыс. рублей.</w:t>
      </w:r>
    </w:p>
    <w:p w:rsidR="00CC5BA6" w:rsidRPr="00550F6F" w:rsidRDefault="00CC5BA6" w:rsidP="00550F6F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На социальное обеспечение и иные выплаты населению в 2020 году направлено 448 424,45 тыс. рублей, в том числе за счет средств: федерального и областного бюджетов – 432 954,2 тыс. рублей, местного бюджета – 15 470,2 тыс. рублей, из них:</w:t>
      </w:r>
    </w:p>
    <w:p w:rsidR="00CC5BA6" w:rsidRPr="00550F6F" w:rsidRDefault="00CC5BA6" w:rsidP="00550F6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- муниципальные доплаты к пенсиям – 9 132,1 тыс. рублей;</w:t>
      </w:r>
    </w:p>
    <w:p w:rsidR="00CC5BA6" w:rsidRPr="00550F6F" w:rsidRDefault="00CC5BA6" w:rsidP="00550F6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- пособия, компенсации, меры социальной поддержки по публичным нормативным обязательствам – 71 793,2 тыс. рублей;</w:t>
      </w:r>
    </w:p>
    <w:p w:rsidR="00CC5BA6" w:rsidRPr="00550F6F" w:rsidRDefault="00CC5BA6" w:rsidP="00550F6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- пособия, компенсации и иные социальные выплаты гражданам, кроме публично-нормативных обязательств – 3 289,1 тыс. рублей;</w:t>
      </w:r>
    </w:p>
    <w:p w:rsidR="00CC5BA6" w:rsidRPr="00550F6F" w:rsidRDefault="00CC5BA6" w:rsidP="00550F6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- субсидии гражданам на приобретение жилья – 348 559,7 тыс. рублей;</w:t>
      </w:r>
    </w:p>
    <w:p w:rsidR="00CC5BA6" w:rsidRPr="00550F6F" w:rsidRDefault="00CC5BA6" w:rsidP="00550F6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- приобретение товаров, работ, услуг в пользу граждан в целях их социального обеспечения – 10 002,1 тыс. рублей;</w:t>
      </w:r>
    </w:p>
    <w:p w:rsidR="00CC5BA6" w:rsidRPr="00550F6F" w:rsidRDefault="00CC5BA6" w:rsidP="00550F6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- публично-нормативные обязательства несоциального характера – 965,5 тыс. рублей;</w:t>
      </w:r>
    </w:p>
    <w:p w:rsidR="00CC5BA6" w:rsidRPr="00550F6F" w:rsidRDefault="00CC5BA6" w:rsidP="00550F6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- премии и гранты – 1 262,3 тыс. рублей;</w:t>
      </w:r>
    </w:p>
    <w:p w:rsidR="00CC5BA6" w:rsidRPr="00550F6F" w:rsidRDefault="00CC5BA6" w:rsidP="00550F6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- иные выплаты населению – 2 357,3 тыс. рублей.</w:t>
      </w:r>
    </w:p>
    <w:p w:rsidR="00CC5BA6" w:rsidRPr="00550F6F" w:rsidRDefault="00CC5BA6" w:rsidP="00550F6F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ab/>
        <w:t>На капитальные вложения в объекты муниципальной собственности направлено – 183 455,9 тыс. рублей, в том числе за счет средств: федерального и областного бюджетов –  180953,1 тыс. рублей, местного бюджета – 2502,8 тыс. рублей, из них:</w:t>
      </w:r>
    </w:p>
    <w:p w:rsidR="00CC5BA6" w:rsidRPr="00550F6F" w:rsidRDefault="00CC5BA6" w:rsidP="00550F6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 xml:space="preserve"> -  бюджетные инвестиции на приобретение объектов недвижимого имущества в муниципальную собственность – 165 059,7 тыс. рублей;</w:t>
      </w:r>
    </w:p>
    <w:p w:rsidR="00CC5BA6" w:rsidRPr="00550F6F" w:rsidRDefault="00CC5BA6" w:rsidP="00550F6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- бюджетные инвестиции в объекты капитального строительства государственной (муниципальной) собственности – 18 396,2 тыс. рублей.</w:t>
      </w:r>
    </w:p>
    <w:p w:rsidR="00CC5BA6" w:rsidRPr="00550F6F" w:rsidRDefault="00CC5BA6" w:rsidP="00550F6F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На предоставление субсидий бюджетным, автономным учреждениям и иным некоммерческим организациям направлено – 1 613 522,8 тыс. рублей, в том числе за счет средств: федерального и областного бюджетов – 784 466,4 тыс. рублей, местного бюджета – 829 056,4 тыс. рублей, из них:</w:t>
      </w:r>
    </w:p>
    <w:p w:rsidR="00CC5BA6" w:rsidRPr="00550F6F" w:rsidRDefault="00CC5BA6" w:rsidP="00550F6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lastRenderedPageBreak/>
        <w:t>- субсидии бюджетным учреждениям на финансовое обеспечение муниципального задания на оказание муниципальных услуг (выполнение работ) – 1 283 633,4 тыс. рублей;</w:t>
      </w:r>
    </w:p>
    <w:p w:rsidR="00CC5BA6" w:rsidRPr="00550F6F" w:rsidRDefault="00CC5BA6" w:rsidP="00550F6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- субсидии бюджетным учреждениям на иные цели – 211 122,2 тыс. рублей;</w:t>
      </w:r>
    </w:p>
    <w:p w:rsidR="00CC5BA6" w:rsidRPr="00550F6F" w:rsidRDefault="00CC5BA6" w:rsidP="00550F6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- субсидии автономным учреждениям на финансовое обеспечение муниципального задания на оказание муниципальных услуг (выполнение работ) – 94 939,0 тыс. рублей;</w:t>
      </w:r>
    </w:p>
    <w:p w:rsidR="00CC5BA6" w:rsidRPr="00550F6F" w:rsidRDefault="00CC5BA6" w:rsidP="00550F6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- субсидии автономным учреждениям на иные цели – 22860,0 тыс. рублей;</w:t>
      </w:r>
    </w:p>
    <w:p w:rsidR="00CC5BA6" w:rsidRPr="00550F6F" w:rsidRDefault="00CC5BA6" w:rsidP="00550F6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 xml:space="preserve">- субсидии некоммерческим организациям (за исключением (муниципальных) учреждений) – 968,2 тыс. рублей (ВОС, Красный крест, Островок доброты, </w:t>
      </w:r>
      <w:proofErr w:type="spellStart"/>
      <w:r w:rsidRPr="00550F6F">
        <w:rPr>
          <w:rFonts w:ascii="Times New Roman" w:hAnsi="Times New Roman" w:cs="Times New Roman"/>
          <w:sz w:val="28"/>
          <w:szCs w:val="28"/>
        </w:rPr>
        <w:t>ВВиТр</w:t>
      </w:r>
      <w:proofErr w:type="spellEnd"/>
      <w:r w:rsidRPr="00550F6F">
        <w:rPr>
          <w:rFonts w:ascii="Times New Roman" w:hAnsi="Times New Roman" w:cs="Times New Roman"/>
          <w:sz w:val="28"/>
          <w:szCs w:val="28"/>
        </w:rPr>
        <w:t>).</w:t>
      </w:r>
    </w:p>
    <w:p w:rsidR="00CC5BA6" w:rsidRPr="00550F6F" w:rsidRDefault="00CC5BA6" w:rsidP="00550F6F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На обслуживание муниципального долга направлено – 1 905,2 тыс. рублей.</w:t>
      </w:r>
    </w:p>
    <w:p w:rsidR="00CC5BA6" w:rsidRPr="00550F6F" w:rsidRDefault="00CC5BA6" w:rsidP="00550F6F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Иные бюджетные ассигнования составили – 478 878,2 тыс. рублей.</w:t>
      </w:r>
    </w:p>
    <w:p w:rsidR="00CC5BA6" w:rsidRPr="00550F6F" w:rsidRDefault="00CC5BA6" w:rsidP="00550F6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 xml:space="preserve">– 97,1 %. </w:t>
      </w:r>
    </w:p>
    <w:p w:rsidR="00CC5BA6" w:rsidRPr="00550F6F" w:rsidRDefault="00CC5BA6" w:rsidP="00550F6F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(тыс. руб.)</w:t>
      </w:r>
    </w:p>
    <w:tbl>
      <w:tblPr>
        <w:tblW w:w="996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709"/>
        <w:gridCol w:w="1559"/>
        <w:gridCol w:w="1701"/>
        <w:gridCol w:w="1559"/>
        <w:gridCol w:w="1276"/>
        <w:gridCol w:w="1164"/>
      </w:tblGrid>
      <w:tr w:rsidR="00550F6F" w:rsidRPr="00550F6F" w:rsidTr="00E3651A">
        <w:trPr>
          <w:trHeight w:val="126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50F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Первон</w:t>
            </w:r>
            <w:proofErr w:type="gramStart"/>
            <w:r w:rsidRPr="00550F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proofErr w:type="spellEnd"/>
            <w:r w:rsidRPr="00550F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gramEnd"/>
            <w:r w:rsidRPr="00550F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550F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чальный</w:t>
            </w:r>
            <w:proofErr w:type="spellEnd"/>
            <w:r w:rsidRPr="00550F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план </w:t>
            </w:r>
          </w:p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Уточненный план </w:t>
            </w:r>
          </w:p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550F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Исполне-ние</w:t>
            </w:r>
            <w:proofErr w:type="spellEnd"/>
            <w:proofErr w:type="gramEnd"/>
            <w:r w:rsidRPr="00550F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% </w:t>
            </w:r>
            <w:proofErr w:type="spellStart"/>
            <w:proofErr w:type="gramStart"/>
            <w:r w:rsidRPr="00550F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исполне-ния</w:t>
            </w:r>
            <w:proofErr w:type="spellEnd"/>
            <w:proofErr w:type="gramEnd"/>
            <w:r w:rsidRPr="00550F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 </w:t>
            </w:r>
            <w:proofErr w:type="spellStart"/>
            <w:r w:rsidRPr="00550F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первона-чальному</w:t>
            </w:r>
            <w:proofErr w:type="spellEnd"/>
            <w:r w:rsidRPr="00550F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плану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 исполнения к уточненному плану</w:t>
            </w:r>
          </w:p>
        </w:tc>
      </w:tr>
      <w:tr w:rsidR="00550F6F" w:rsidRPr="00550F6F" w:rsidTr="00E3651A">
        <w:trPr>
          <w:trHeight w:val="51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126459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153 166,7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150 728,6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119,2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</w:tr>
      <w:tr w:rsidR="00550F6F" w:rsidRPr="00550F6F" w:rsidTr="00E3651A">
        <w:trPr>
          <w:trHeight w:val="1083"/>
        </w:trPr>
        <w:tc>
          <w:tcPr>
            <w:tcW w:w="2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16164,8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16 403,0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16 103,9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</w:tr>
      <w:tr w:rsidR="00550F6F" w:rsidRPr="00550F6F" w:rsidTr="00E3651A">
        <w:trPr>
          <w:trHeight w:val="525"/>
        </w:trPr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152350,9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119 071,8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111 330,7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73,1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</w:tr>
      <w:tr w:rsidR="00550F6F" w:rsidRPr="00550F6F" w:rsidTr="00E3651A">
        <w:trPr>
          <w:trHeight w:val="511"/>
        </w:trPr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Жилищно-</w:t>
            </w:r>
            <w:proofErr w:type="spellStart"/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коммуналь</w:t>
            </w:r>
            <w:proofErr w:type="spellEnd"/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550F6F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480540,3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731 682,2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651 622,8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135,6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89,1</w:t>
            </w:r>
          </w:p>
        </w:tc>
      </w:tr>
      <w:tr w:rsidR="00550F6F" w:rsidRPr="00550F6F" w:rsidTr="00E3651A">
        <w:trPr>
          <w:trHeight w:val="375"/>
        </w:trPr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1293136,7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1 375 119,9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1 368 690,3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105,8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</w:tr>
      <w:tr w:rsidR="00550F6F" w:rsidRPr="00550F6F" w:rsidTr="00E3651A">
        <w:trPr>
          <w:trHeight w:val="480"/>
        </w:trPr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113658,2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116 644,0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116 537,1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99,9</w:t>
            </w:r>
          </w:p>
        </w:tc>
      </w:tr>
      <w:tr w:rsidR="00550F6F" w:rsidRPr="00550F6F" w:rsidTr="00E3651A">
        <w:trPr>
          <w:trHeight w:val="375"/>
        </w:trPr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874253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788 482,1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786 490,7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</w:tr>
      <w:tr w:rsidR="00550F6F" w:rsidRPr="00550F6F" w:rsidTr="00E3651A">
        <w:trPr>
          <w:trHeight w:val="486"/>
        </w:trPr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88239,9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96 831,4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96 561,5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109,4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</w:tr>
      <w:tr w:rsidR="00550F6F" w:rsidRPr="00550F6F" w:rsidTr="00E3651A">
        <w:trPr>
          <w:trHeight w:val="287"/>
        </w:trPr>
        <w:tc>
          <w:tcPr>
            <w:tcW w:w="2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1351,6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1 618,7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1 618,7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119,8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550F6F" w:rsidRPr="00550F6F" w:rsidTr="00E3651A">
        <w:trPr>
          <w:trHeight w:val="87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2136,1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1 905,2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1 905,2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89,2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550F6F" w:rsidRPr="00550F6F" w:rsidTr="00CC5BA6">
        <w:trPr>
          <w:trHeight w:val="87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3148290,5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3 400 924,9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3 301 589,5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104,9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A6" w:rsidRPr="00550F6F" w:rsidRDefault="00CC5BA6" w:rsidP="00550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sz w:val="28"/>
                <w:szCs w:val="28"/>
              </w:rPr>
              <w:t>97,1</w:t>
            </w:r>
          </w:p>
        </w:tc>
      </w:tr>
    </w:tbl>
    <w:p w:rsidR="00C350E9" w:rsidRPr="00550F6F" w:rsidRDefault="00C350E9" w:rsidP="00550F6F">
      <w:pPr>
        <w:autoSpaceDE w:val="0"/>
        <w:autoSpaceDN w:val="0"/>
        <w:adjustRightInd w:val="0"/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 xml:space="preserve">На 01.01.2020г. общее количество учреждений уменьшилось на 1 единицу и составило 80 муниципальное учреждение, в том числе: 15 казенных, 57 бюджетных, 8 автономных. </w:t>
      </w:r>
    </w:p>
    <w:p w:rsidR="003812FE" w:rsidRPr="00550F6F" w:rsidRDefault="003812FE" w:rsidP="00550F6F">
      <w:pPr>
        <w:pStyle w:val="a8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50F6F">
        <w:rPr>
          <w:rFonts w:ascii="Times New Roman" w:hAnsi="Times New Roman" w:cs="Times New Roman"/>
          <w:sz w:val="28"/>
          <w:szCs w:val="28"/>
        </w:rPr>
        <w:t>Главным инструментом, который призван обеспечить повышение результативности и эффективности бюджетных расходов, ориентированности на достижение целей государственной политики, являются муниципальные программы.</w:t>
      </w:r>
    </w:p>
    <w:p w:rsidR="003812FE" w:rsidRPr="00550F6F" w:rsidRDefault="003812FE" w:rsidP="00550F6F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ab/>
        <w:t xml:space="preserve">Бюджет города с 2014г. формируется в программном формате. </w:t>
      </w:r>
      <w:proofErr w:type="gramStart"/>
      <w:r w:rsidRPr="00550F6F">
        <w:rPr>
          <w:rFonts w:ascii="Times New Roman" w:hAnsi="Times New Roman" w:cs="Times New Roman"/>
          <w:sz w:val="28"/>
          <w:szCs w:val="28"/>
        </w:rPr>
        <w:t>С 2020 года начала действовать новая муниципальная программа «Развитие туризма на территории Анжеро-Судженского городского округа», но так как муниципальная программа «Повышение качества предоставления государственных и муниципальных услуг» исключена из перечня муниципальных программ (постановление администрации Анжеро-Судженского городского округа от 21.05.2020г. № 405 "О внесении изменений в постановление администрации Анжеро-Судженского городского округа от 02.11.2018 № 1457 «Об утверждении перечня муниципальных программ Анжеро-Судженского городского</w:t>
      </w:r>
      <w:proofErr w:type="gramEnd"/>
      <w:r w:rsidRPr="00550F6F">
        <w:rPr>
          <w:rFonts w:ascii="Times New Roman" w:hAnsi="Times New Roman" w:cs="Times New Roman"/>
          <w:sz w:val="28"/>
          <w:szCs w:val="28"/>
        </w:rPr>
        <w:t xml:space="preserve"> округа»), в связи с ликвидацией исполнителя программы МАУ АГСО "Многофункциональный центр предоставления муниципальных услуг", то  количество программ осталось </w:t>
      </w:r>
      <w:proofErr w:type="gramStart"/>
      <w:r w:rsidRPr="00550F6F">
        <w:rPr>
          <w:rFonts w:ascii="Times New Roman" w:hAnsi="Times New Roman" w:cs="Times New Roman"/>
          <w:sz w:val="28"/>
          <w:szCs w:val="28"/>
        </w:rPr>
        <w:t>неизменным</w:t>
      </w:r>
      <w:proofErr w:type="gramEnd"/>
      <w:r w:rsidRPr="00550F6F">
        <w:rPr>
          <w:rFonts w:ascii="Times New Roman" w:hAnsi="Times New Roman" w:cs="Times New Roman"/>
          <w:sz w:val="28"/>
          <w:szCs w:val="28"/>
        </w:rPr>
        <w:t xml:space="preserve"> как и в предыдущем 2019 году - 14. Объем программных расходов составил 3 288 370,5 тыс. рублей или 99,6% от общего объема расходов. Кроме того, в местном бюджете присутствуют внепрограммные расходы, которые составили – 0,4 % от общих расходов бюджета или 13 218,9 тыс. рублей. </w:t>
      </w:r>
    </w:p>
    <w:p w:rsidR="003812FE" w:rsidRPr="00550F6F" w:rsidRDefault="003812FE" w:rsidP="00550F6F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ab/>
        <w:t>Наибольшая доля расходов в общем объеме произведенных расходов по муниципальным программам приходится на следующие муниципальные программы:</w:t>
      </w:r>
    </w:p>
    <w:p w:rsidR="003812FE" w:rsidRPr="00550F6F" w:rsidRDefault="003812FE" w:rsidP="00550F6F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lastRenderedPageBreak/>
        <w:t>- развитие    системы образования Анжеро-Судженского городского округа – 44,9 %;</w:t>
      </w:r>
    </w:p>
    <w:p w:rsidR="003812FE" w:rsidRPr="00550F6F" w:rsidRDefault="003812FE" w:rsidP="00550F6F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 xml:space="preserve">- обеспечение доступным и комфортным жильем и коммунальными услугами – 17,1 %, </w:t>
      </w:r>
    </w:p>
    <w:p w:rsidR="003812FE" w:rsidRPr="00550F6F" w:rsidRDefault="003812FE" w:rsidP="00550F6F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 xml:space="preserve">- комплексные мероприятия по повышению </w:t>
      </w:r>
      <w:proofErr w:type="spellStart"/>
      <w:r w:rsidRPr="00550F6F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550F6F">
        <w:rPr>
          <w:rFonts w:ascii="Times New Roman" w:hAnsi="Times New Roman" w:cs="Times New Roman"/>
          <w:sz w:val="28"/>
          <w:szCs w:val="28"/>
        </w:rPr>
        <w:t xml:space="preserve"> жилищн</w:t>
      </w:r>
      <w:proofErr w:type="gramStart"/>
      <w:r w:rsidRPr="00550F6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50F6F">
        <w:rPr>
          <w:rFonts w:ascii="Times New Roman" w:hAnsi="Times New Roman" w:cs="Times New Roman"/>
          <w:sz w:val="28"/>
          <w:szCs w:val="28"/>
        </w:rPr>
        <w:t xml:space="preserve"> коммунального хозяйства на территории Анжеро-Судженского городского округа – 13,1 %;</w:t>
      </w:r>
    </w:p>
    <w:p w:rsidR="003812FE" w:rsidRPr="00550F6F" w:rsidRDefault="003812FE" w:rsidP="00550F6F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- социальная поддержка населения Анжеро-Судженского городского округа – 8,6 %;</w:t>
      </w:r>
    </w:p>
    <w:p w:rsidR="003812FE" w:rsidRPr="00550F6F" w:rsidRDefault="003812FE" w:rsidP="00550F6F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- комплексное обеспечение качественного уровня благоустройства территории Анжеро-Судженского городского округа – 3,6 %.</w:t>
      </w:r>
    </w:p>
    <w:p w:rsidR="003812FE" w:rsidRPr="00550F6F" w:rsidRDefault="003812FE" w:rsidP="00550F6F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ab/>
        <w:t>На исполнение остальных программ направлено 12,7 % всех программных расходов.</w:t>
      </w:r>
    </w:p>
    <w:p w:rsidR="003812FE" w:rsidRPr="00550F6F" w:rsidRDefault="003812FE" w:rsidP="00550F6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Каждая муниципальная программа увязывает бюджетные ассигнования с результатами их использования для достижения заявленных целей.</w:t>
      </w:r>
    </w:p>
    <w:p w:rsidR="003812FE" w:rsidRPr="00550F6F" w:rsidRDefault="003812FE" w:rsidP="00550F6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0F6F">
        <w:rPr>
          <w:rFonts w:ascii="Times New Roman" w:eastAsia="Calibri" w:hAnsi="Times New Roman" w:cs="Times New Roman"/>
          <w:sz w:val="28"/>
          <w:szCs w:val="28"/>
        </w:rPr>
        <w:t>Объем муниципального долга на 31.12.2020г. составляет 10,2%, что соответствует ограничениям, установленным п.3 ст.107 БК РФ (&lt;100%). Долговая нагрузка, по сравнению с аналогичным периодом 2019 года снизилась на 4447,5 тыс. рублей: муниципальный долг составляет на 31.12.2020г. – 61801,4 тыс. рублей, на 31.12.2019г. – 66248,9 тыс. рублей. Снижение долговой нагрузки по сравнению с аналогичным периодом 2019 года, произошло в результате гашения бюджетного кредита, предоставленного вышестоящим бюджетом субъекта РФ за 2020г. на 4447,5 тыс. рублей (на 31.12.2020г. – 38057,2 тыс. рублей, на 31.12.2019г. – 42504,7 тыс. рублей.)</w:t>
      </w:r>
    </w:p>
    <w:p w:rsidR="008E2441" w:rsidRPr="00550F6F" w:rsidRDefault="008E2441" w:rsidP="00550F6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0F6F">
        <w:rPr>
          <w:rFonts w:ascii="Times New Roman" w:eastAsia="Calibri" w:hAnsi="Times New Roman" w:cs="Times New Roman"/>
          <w:sz w:val="28"/>
          <w:szCs w:val="28"/>
        </w:rPr>
        <w:t>В отлич</w:t>
      </w:r>
      <w:r w:rsidR="003812FE" w:rsidRPr="00550F6F">
        <w:rPr>
          <w:rFonts w:ascii="Times New Roman" w:eastAsia="Calibri" w:hAnsi="Times New Roman" w:cs="Times New Roman"/>
          <w:sz w:val="28"/>
          <w:szCs w:val="28"/>
        </w:rPr>
        <w:t>ие от сравниваемого периода 2019</w:t>
      </w:r>
      <w:r w:rsidRPr="00550F6F">
        <w:rPr>
          <w:rFonts w:ascii="Times New Roman" w:eastAsia="Calibri" w:hAnsi="Times New Roman" w:cs="Times New Roman"/>
          <w:sz w:val="28"/>
          <w:szCs w:val="28"/>
        </w:rPr>
        <w:t xml:space="preserve"> года, изменился качественный состав муниципального долга:</w:t>
      </w:r>
    </w:p>
    <w:p w:rsidR="008E2441" w:rsidRPr="00550F6F" w:rsidRDefault="008E2441" w:rsidP="00550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0F6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550F6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50F6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550F6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5665"/>
        <w:gridCol w:w="1418"/>
        <w:gridCol w:w="1417"/>
        <w:gridCol w:w="1843"/>
      </w:tblGrid>
      <w:tr w:rsidR="00550F6F" w:rsidRPr="00550F6F" w:rsidTr="003812FE">
        <w:trPr>
          <w:jc w:val="center"/>
        </w:trPr>
        <w:tc>
          <w:tcPr>
            <w:tcW w:w="5665" w:type="dxa"/>
            <w:vAlign w:val="center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долг, состав</w:t>
            </w:r>
          </w:p>
        </w:tc>
        <w:tc>
          <w:tcPr>
            <w:tcW w:w="1418" w:type="dxa"/>
            <w:vAlign w:val="center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b/>
                <w:sz w:val="28"/>
                <w:szCs w:val="28"/>
              </w:rPr>
              <w:t>2019 год</w:t>
            </w:r>
          </w:p>
        </w:tc>
        <w:tc>
          <w:tcPr>
            <w:tcW w:w="1417" w:type="dxa"/>
            <w:vAlign w:val="center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2020 год </w:t>
            </w:r>
          </w:p>
        </w:tc>
        <w:tc>
          <w:tcPr>
            <w:tcW w:w="1843" w:type="dxa"/>
            <w:vAlign w:val="center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изменения</w:t>
            </w:r>
          </w:p>
        </w:tc>
      </w:tr>
      <w:tr w:rsidR="00550F6F" w:rsidRPr="00550F6F" w:rsidTr="003812FE">
        <w:trPr>
          <w:jc w:val="center"/>
        </w:trPr>
        <w:tc>
          <w:tcPr>
            <w:tcW w:w="5665" w:type="dxa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0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кредитам от кредитных организаций:</w:t>
            </w:r>
          </w:p>
        </w:tc>
        <w:tc>
          <w:tcPr>
            <w:tcW w:w="1418" w:type="dxa"/>
            <w:vAlign w:val="center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b/>
                <w:sz w:val="28"/>
                <w:szCs w:val="28"/>
              </w:rPr>
              <w:t>23744,2</w:t>
            </w:r>
          </w:p>
        </w:tc>
        <w:tc>
          <w:tcPr>
            <w:tcW w:w="1417" w:type="dxa"/>
            <w:vAlign w:val="center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b/>
                <w:sz w:val="28"/>
                <w:szCs w:val="28"/>
              </w:rPr>
              <w:t>23744,2</w:t>
            </w:r>
          </w:p>
        </w:tc>
        <w:tc>
          <w:tcPr>
            <w:tcW w:w="1843" w:type="dxa"/>
            <w:vAlign w:val="center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50F6F" w:rsidRPr="00550F6F" w:rsidTr="003812FE">
        <w:trPr>
          <w:jc w:val="center"/>
        </w:trPr>
        <w:tc>
          <w:tcPr>
            <w:tcW w:w="5665" w:type="dxa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50F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50F6F" w:rsidRPr="00550F6F" w:rsidTr="003812FE">
        <w:trPr>
          <w:jc w:val="center"/>
        </w:trPr>
        <w:tc>
          <w:tcPr>
            <w:tcW w:w="5665" w:type="dxa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0F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коммерческий кредит, предоставленный в 2017 году </w:t>
            </w:r>
            <w:r w:rsidRPr="00550F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ПАО «Сбербанк России» под 8,8% </w:t>
            </w:r>
            <w:proofErr w:type="gramStart"/>
            <w:r w:rsidRPr="00550F6F">
              <w:rPr>
                <w:rFonts w:ascii="Times New Roman" w:hAnsi="Times New Roman" w:cs="Times New Roman"/>
                <w:i/>
                <w:sz w:val="28"/>
                <w:szCs w:val="28"/>
              </w:rPr>
              <w:t>годовых</w:t>
            </w:r>
            <w:proofErr w:type="gramEnd"/>
          </w:p>
        </w:tc>
        <w:tc>
          <w:tcPr>
            <w:tcW w:w="1418" w:type="dxa"/>
            <w:vAlign w:val="center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i/>
                <w:sz w:val="28"/>
                <w:szCs w:val="28"/>
              </w:rPr>
              <w:t>23744,2</w:t>
            </w:r>
          </w:p>
        </w:tc>
        <w:tc>
          <w:tcPr>
            <w:tcW w:w="1417" w:type="dxa"/>
            <w:vAlign w:val="center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i/>
                <w:sz w:val="28"/>
                <w:szCs w:val="28"/>
              </w:rPr>
              <w:t>-23744,2</w:t>
            </w:r>
          </w:p>
        </w:tc>
      </w:tr>
      <w:tr w:rsidR="00550F6F" w:rsidRPr="00550F6F" w:rsidTr="003812FE">
        <w:trPr>
          <w:jc w:val="center"/>
        </w:trPr>
        <w:tc>
          <w:tcPr>
            <w:tcW w:w="5665" w:type="dxa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50F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коммерческий кредит, предоставленный </w:t>
            </w:r>
            <w:r w:rsidRPr="00550F6F">
              <w:rPr>
                <w:rFonts w:ascii="Times New Roman" w:hAnsi="Times New Roman" w:cs="Times New Roman"/>
                <w:i/>
                <w:sz w:val="28"/>
                <w:szCs w:val="28"/>
              </w:rPr>
              <w:t>ПАО «Сбербанк России» (муниципальный контракт от 29.05.2020г. № 3) под 7% годовых</w:t>
            </w:r>
          </w:p>
        </w:tc>
        <w:tc>
          <w:tcPr>
            <w:tcW w:w="1418" w:type="dxa"/>
            <w:vAlign w:val="center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i/>
                <w:sz w:val="28"/>
                <w:szCs w:val="28"/>
              </w:rPr>
              <w:t>23744,2</w:t>
            </w:r>
          </w:p>
        </w:tc>
        <w:tc>
          <w:tcPr>
            <w:tcW w:w="1843" w:type="dxa"/>
            <w:vAlign w:val="center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i/>
                <w:sz w:val="28"/>
                <w:szCs w:val="28"/>
              </w:rPr>
              <w:t>23744,2</w:t>
            </w:r>
          </w:p>
        </w:tc>
      </w:tr>
      <w:tr w:rsidR="00550F6F" w:rsidRPr="00550F6F" w:rsidTr="003812FE">
        <w:trPr>
          <w:jc w:val="center"/>
        </w:trPr>
        <w:tc>
          <w:tcPr>
            <w:tcW w:w="5665" w:type="dxa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0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бюджетным кредитам:</w:t>
            </w:r>
          </w:p>
        </w:tc>
        <w:tc>
          <w:tcPr>
            <w:tcW w:w="1418" w:type="dxa"/>
            <w:vAlign w:val="center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b/>
                <w:sz w:val="28"/>
                <w:szCs w:val="28"/>
              </w:rPr>
              <w:t>42504,7</w:t>
            </w:r>
          </w:p>
        </w:tc>
        <w:tc>
          <w:tcPr>
            <w:tcW w:w="1417" w:type="dxa"/>
            <w:vAlign w:val="center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b/>
                <w:sz w:val="28"/>
                <w:szCs w:val="28"/>
              </w:rPr>
              <w:t>38057,2</w:t>
            </w:r>
          </w:p>
        </w:tc>
        <w:tc>
          <w:tcPr>
            <w:tcW w:w="1843" w:type="dxa"/>
            <w:vAlign w:val="center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b/>
                <w:sz w:val="28"/>
                <w:szCs w:val="28"/>
              </w:rPr>
              <w:t>-4447,5</w:t>
            </w:r>
          </w:p>
        </w:tc>
      </w:tr>
      <w:tr w:rsidR="00550F6F" w:rsidRPr="00550F6F" w:rsidTr="003812FE">
        <w:trPr>
          <w:jc w:val="center"/>
        </w:trPr>
        <w:tc>
          <w:tcPr>
            <w:tcW w:w="5665" w:type="dxa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50F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50F6F" w:rsidRPr="00550F6F" w:rsidTr="003812FE">
        <w:trPr>
          <w:jc w:val="center"/>
        </w:trPr>
        <w:tc>
          <w:tcPr>
            <w:tcW w:w="5665" w:type="dxa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50F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бюджетный кредит, предоставленный из областного бюджета для частичного покрытия дефицита бюджета (договор от 17.06.2019г. № Д-2019-09), процентная </w:t>
            </w:r>
            <w:r w:rsidRPr="00550F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ставка – 0,1%</w:t>
            </w:r>
          </w:p>
        </w:tc>
        <w:tc>
          <w:tcPr>
            <w:tcW w:w="1418" w:type="dxa"/>
            <w:vAlign w:val="center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12504,7</w:t>
            </w:r>
          </w:p>
        </w:tc>
        <w:tc>
          <w:tcPr>
            <w:tcW w:w="1417" w:type="dxa"/>
            <w:vAlign w:val="center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i/>
                <w:sz w:val="28"/>
                <w:szCs w:val="28"/>
              </w:rPr>
              <w:t>11057,2</w:t>
            </w:r>
          </w:p>
        </w:tc>
        <w:tc>
          <w:tcPr>
            <w:tcW w:w="1843" w:type="dxa"/>
            <w:vAlign w:val="center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i/>
                <w:sz w:val="28"/>
                <w:szCs w:val="28"/>
              </w:rPr>
              <w:t>-1447,5</w:t>
            </w:r>
          </w:p>
        </w:tc>
      </w:tr>
      <w:tr w:rsidR="00550F6F" w:rsidRPr="00550F6F" w:rsidTr="003812FE">
        <w:trPr>
          <w:jc w:val="center"/>
        </w:trPr>
        <w:tc>
          <w:tcPr>
            <w:tcW w:w="5665" w:type="dxa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50F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бюджетный кредит, предоставленный из областного бюджета для частичного покрытия дефицита бюджета (договор от 14.11.2019г. № Д-2019-13), процентная ставка – 0,1%</w:t>
            </w:r>
          </w:p>
        </w:tc>
        <w:tc>
          <w:tcPr>
            <w:tcW w:w="1418" w:type="dxa"/>
            <w:vAlign w:val="center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i/>
                <w:sz w:val="28"/>
                <w:szCs w:val="28"/>
              </w:rPr>
              <w:t>30000,0</w:t>
            </w:r>
          </w:p>
        </w:tc>
        <w:tc>
          <w:tcPr>
            <w:tcW w:w="1417" w:type="dxa"/>
            <w:vAlign w:val="center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i/>
                <w:sz w:val="28"/>
                <w:szCs w:val="28"/>
              </w:rPr>
              <w:t>27000,0</w:t>
            </w:r>
          </w:p>
        </w:tc>
        <w:tc>
          <w:tcPr>
            <w:tcW w:w="1843" w:type="dxa"/>
            <w:vAlign w:val="center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i/>
                <w:sz w:val="28"/>
                <w:szCs w:val="28"/>
              </w:rPr>
              <w:t>-3000,0</w:t>
            </w:r>
          </w:p>
        </w:tc>
      </w:tr>
      <w:tr w:rsidR="00550F6F" w:rsidRPr="00550F6F" w:rsidTr="003812FE">
        <w:trPr>
          <w:jc w:val="center"/>
        </w:trPr>
        <w:tc>
          <w:tcPr>
            <w:tcW w:w="5665" w:type="dxa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0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 муниципальный долг</w:t>
            </w:r>
          </w:p>
        </w:tc>
        <w:tc>
          <w:tcPr>
            <w:tcW w:w="1418" w:type="dxa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b/>
                <w:sz w:val="28"/>
                <w:szCs w:val="28"/>
              </w:rPr>
              <w:t>66248,9</w:t>
            </w:r>
          </w:p>
        </w:tc>
        <w:tc>
          <w:tcPr>
            <w:tcW w:w="1417" w:type="dxa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b/>
                <w:sz w:val="28"/>
                <w:szCs w:val="28"/>
              </w:rPr>
              <w:t>61801,4</w:t>
            </w:r>
          </w:p>
        </w:tc>
        <w:tc>
          <w:tcPr>
            <w:tcW w:w="1843" w:type="dxa"/>
          </w:tcPr>
          <w:p w:rsidR="003812FE" w:rsidRPr="00550F6F" w:rsidRDefault="003812FE" w:rsidP="00550F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F6F">
              <w:rPr>
                <w:rFonts w:ascii="Times New Roman" w:hAnsi="Times New Roman" w:cs="Times New Roman"/>
                <w:b/>
                <w:sz w:val="28"/>
                <w:szCs w:val="28"/>
              </w:rPr>
              <w:t>-4447,5</w:t>
            </w:r>
          </w:p>
        </w:tc>
      </w:tr>
    </w:tbl>
    <w:p w:rsidR="008E2441" w:rsidRPr="00550F6F" w:rsidRDefault="008E2441" w:rsidP="00550F6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2FE" w:rsidRPr="00550F6F" w:rsidRDefault="003812FE" w:rsidP="00550F6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0F6F">
        <w:rPr>
          <w:rFonts w:ascii="Times New Roman" w:eastAsia="Calibri" w:hAnsi="Times New Roman" w:cs="Times New Roman"/>
          <w:sz w:val="28"/>
          <w:szCs w:val="28"/>
        </w:rPr>
        <w:t xml:space="preserve">К договору от 14.11.2019г. № Д-2019-13 о предоставлении из областного бюджета бюджетного кредита на частичное покрытие дефицита бюджета Анжеро-Судженского городского округа заключено дополнительное соглашение от 17.09.2020г. на реструктуризацию задолженности по бюджетному кредиту. В соответствии с соглашением, задолженность муниципального образования (в объеме 27,0 млн. рублей) подлежит погашению в период с 2023 по 2029 год включительно в размере 10% суммы задолженности ежегодно, в 2029 году в размере 40% суммы задолженности. На остаток реструктуризированной задолженности, в полном объеме, начисляется плата в размере 0,1% </w:t>
      </w:r>
      <w:proofErr w:type="gramStart"/>
      <w:r w:rsidRPr="00550F6F">
        <w:rPr>
          <w:rFonts w:ascii="Times New Roman" w:eastAsia="Calibri" w:hAnsi="Times New Roman" w:cs="Times New Roman"/>
          <w:sz w:val="28"/>
          <w:szCs w:val="28"/>
        </w:rPr>
        <w:t>годовых</w:t>
      </w:r>
      <w:proofErr w:type="gramEnd"/>
      <w:r w:rsidRPr="00550F6F">
        <w:rPr>
          <w:rFonts w:ascii="Times New Roman" w:eastAsia="Calibri" w:hAnsi="Times New Roman" w:cs="Times New Roman"/>
          <w:sz w:val="28"/>
          <w:szCs w:val="28"/>
        </w:rPr>
        <w:t xml:space="preserve">. Таким образом, муниципальный бюджет не будет гасить долг по бюджетному кредиту до 2023г. </w:t>
      </w:r>
    </w:p>
    <w:p w:rsidR="00C45642" w:rsidRPr="00550F6F" w:rsidRDefault="00C45642" w:rsidP="00550F6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0F6F">
        <w:rPr>
          <w:rFonts w:ascii="Times New Roman" w:eastAsia="Calibri" w:hAnsi="Times New Roman" w:cs="Times New Roman"/>
          <w:sz w:val="28"/>
          <w:szCs w:val="28"/>
        </w:rPr>
        <w:t xml:space="preserve">Доля расходов на обслуживание муниципального долга составила на 31.12.2020г.  - 0,09%, что на 0,03% меньше, чем на 31.12.2019г. (0,12%). Снижение доли расходов на обслуживание муниципального долга произошло за счет снижения расходов на обслуживание муниципального долга на 722,0 тыс. рублей (с 2627,2 тыс. рублей – на 31.12.2019г. до 1905,2 тыс. рублей – на 31.12.2020г.), связанного </w:t>
      </w:r>
      <w:proofErr w:type="gramStart"/>
      <w:r w:rsidRPr="00550F6F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550F6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45642" w:rsidRPr="00550F6F" w:rsidRDefault="00C45642" w:rsidP="00550F6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50F6F">
        <w:rPr>
          <w:rFonts w:ascii="Times New Roman" w:eastAsia="Calibri" w:hAnsi="Times New Roman" w:cs="Times New Roman"/>
          <w:sz w:val="28"/>
          <w:szCs w:val="28"/>
        </w:rPr>
        <w:t>- получением в 2019 году из вышестоящего бюджета субъекта РФ двух бюджетных кредитов (под 0,1% годовых) в объеме 42866,6 тыс. рублей и одновременного гашения части коммерческого кредита (предоставленного под 8,8% годовых), за счет бюджетного кредита, предоставленного в целях погашения долговых обязательств (под 0,1% годовых) в объеме - 12866,3 тыс. рублей;</w:t>
      </w:r>
      <w:proofErr w:type="gramEnd"/>
    </w:p>
    <w:p w:rsidR="00C45642" w:rsidRPr="00550F6F" w:rsidRDefault="00C45642" w:rsidP="00550F6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50F6F">
        <w:rPr>
          <w:rFonts w:ascii="Times New Roman" w:eastAsia="Calibri" w:hAnsi="Times New Roman" w:cs="Times New Roman"/>
          <w:sz w:val="28"/>
          <w:szCs w:val="28"/>
        </w:rPr>
        <w:t>- получением коммерческого кредита под 7% годовых 30.05.2020г. в объеме 23744,2 тыс. рублей для закрытия в полном объеме по сроку возвращения коммерческого кредита, предоставленного в 2017 году под 8,8% годовых (по итогам проведенного электронного аукциона 18 мая 2020 года, заключен муниципальный контракт от 29.05.2020г. № 3 на предоставление денежных средств на условиях срочности, возвратности и платности в рублях РФ с</w:t>
      </w:r>
      <w:proofErr w:type="gramEnd"/>
      <w:r w:rsidRPr="00550F6F">
        <w:rPr>
          <w:rFonts w:ascii="Times New Roman" w:eastAsia="Calibri" w:hAnsi="Times New Roman" w:cs="Times New Roman"/>
          <w:sz w:val="28"/>
          <w:szCs w:val="28"/>
        </w:rPr>
        <w:t xml:space="preserve"> целью покрытия дефицита бюджета Анжеро-Судженского городского округа в 2020 году. </w:t>
      </w:r>
      <w:proofErr w:type="gramStart"/>
      <w:r w:rsidRPr="00550F6F">
        <w:rPr>
          <w:rFonts w:ascii="Times New Roman" w:eastAsia="Calibri" w:hAnsi="Times New Roman" w:cs="Times New Roman"/>
          <w:sz w:val="28"/>
          <w:szCs w:val="28"/>
        </w:rPr>
        <w:t>Контракт заключен между ПАО "Сбербанк России" и администрацией Анжеро-Судженского городского округа с окончательным сроком возврата - 27.05.2022г.).</w:t>
      </w:r>
      <w:proofErr w:type="gramEnd"/>
    </w:p>
    <w:p w:rsidR="00C45642" w:rsidRPr="00550F6F" w:rsidRDefault="00C45642" w:rsidP="00550F6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0F6F">
        <w:rPr>
          <w:rFonts w:ascii="Times New Roman" w:eastAsia="Calibri" w:hAnsi="Times New Roman" w:cs="Times New Roman"/>
          <w:sz w:val="28"/>
          <w:szCs w:val="28"/>
        </w:rPr>
        <w:t xml:space="preserve">Снижение процентной ставки за обслуживание коммерческого кредита повлекло снижение затрат на обслуживание в целом муниципального долга. </w:t>
      </w:r>
    </w:p>
    <w:p w:rsidR="00C45642" w:rsidRPr="00550F6F" w:rsidRDefault="00C45642" w:rsidP="00550F6F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5642" w:rsidRPr="00550F6F" w:rsidRDefault="00C45642" w:rsidP="00550F6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F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Ст. 107.1. Бюджетного кодекса РФ определен порядок оценки долговой устойчивости муниципального образования. </w:t>
      </w:r>
      <w:r w:rsidRPr="00550F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Отнесение муниципальных образований к группам заемщиков, указанным в </w:t>
      </w:r>
      <w:hyperlink r:id="rId5" w:history="1">
        <w:r w:rsidRPr="00550F6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п. 2</w:t>
        </w:r>
      </w:hyperlink>
      <w:r w:rsidRPr="00550F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ст. </w:t>
      </w:r>
      <w:r w:rsidRPr="00550F6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107.1 БК РФ является основанием для предъявления требований, в зависимости от уровня долговой устойчивости.</w:t>
      </w:r>
    </w:p>
    <w:p w:rsidR="00C45642" w:rsidRPr="00550F6F" w:rsidRDefault="00C45642" w:rsidP="00550F6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50F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Для определения </w:t>
      </w:r>
      <w:r w:rsidRPr="00550F6F">
        <w:rPr>
          <w:rFonts w:ascii="Times New Roman" w:eastAsia="Calibri" w:hAnsi="Times New Roman" w:cs="Times New Roman"/>
          <w:sz w:val="28"/>
          <w:szCs w:val="28"/>
        </w:rPr>
        <w:t>оценки долговой устойчивости производится расчет следующих показателей:</w:t>
      </w:r>
    </w:p>
    <w:p w:rsidR="00C45642" w:rsidRPr="00550F6F" w:rsidRDefault="00C45642" w:rsidP="00550F6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F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50F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1) объем муниципального долга к общему объему доходов бюджета без учета безвозмездных поступлений (безвозмездных поступлений и (или) поступлений налоговых доходов по дополнительным нормативам отчислений от налога на доходы физических лиц:</w:t>
      </w:r>
    </w:p>
    <w:p w:rsidR="00C45642" w:rsidRPr="00550F6F" w:rsidRDefault="00C45642" w:rsidP="00550F6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F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Расчет: 61 801,4тыс. рублей (муниципальный долг) / (3 299 188,8 тыс. рублей (исполнение по доходам) – 2 692 884,6 тыс. рублей (безвозмездные поступления) – 265 593,5 (поступления налоговых доходов по дополнительным нормативам отчислений)) * 100 = </w:t>
      </w:r>
      <w:r w:rsidRPr="00550F6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18,1%</w:t>
      </w:r>
      <w:r w:rsidRPr="00550F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Pr="00550F6F">
        <w:rPr>
          <w:rFonts w:ascii="Times New Roman" w:eastAsia="Calibri" w:hAnsi="Times New Roman" w:cs="Times New Roman"/>
          <w:sz w:val="28"/>
          <w:szCs w:val="28"/>
        </w:rPr>
        <w:t xml:space="preserve">показатель </w:t>
      </w:r>
      <w:r w:rsidRPr="00550F6F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более 50 процентов);</w:t>
      </w:r>
    </w:p>
    <w:p w:rsidR="00C45642" w:rsidRPr="00550F6F" w:rsidRDefault="00C45642" w:rsidP="00550F6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F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proofErr w:type="gramStart"/>
      <w:r w:rsidRPr="00550F6F">
        <w:rPr>
          <w:rFonts w:ascii="Times New Roman" w:eastAsiaTheme="minorHAnsi" w:hAnsi="Times New Roman" w:cs="Times New Roman"/>
          <w:sz w:val="28"/>
          <w:szCs w:val="28"/>
          <w:lang w:eastAsia="en-US"/>
        </w:rPr>
        <w:t>2) годовая сумма платежей по погашению и обслуживанию муниципального долга,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к общему объему налоговых и неналоговых доходов местного бюджета и дотаций из бюджетов бюджетной системы Российской Федерации:</w:t>
      </w:r>
      <w:proofErr w:type="gramEnd"/>
    </w:p>
    <w:p w:rsidR="00C45642" w:rsidRPr="00550F6F" w:rsidRDefault="00C45642" w:rsidP="00550F6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0F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550F6F">
        <w:rPr>
          <w:rFonts w:ascii="Times New Roman" w:eastAsia="Calibri" w:hAnsi="Times New Roman" w:cs="Times New Roman"/>
          <w:sz w:val="28"/>
          <w:szCs w:val="28"/>
        </w:rPr>
        <w:t>Расчет: (1905,2 тыс. рублей + 3 000,0 тыс. рублей + 1 447,5 тыс. рублей)  / (606 304,2</w:t>
      </w:r>
      <w:r w:rsidRPr="00550F6F">
        <w:rPr>
          <w:rFonts w:ascii="Times New Roman" w:eastAsia="Calibri" w:hAnsi="Times New Roman" w:cs="Times New Roman"/>
          <w:i/>
          <w:sz w:val="28"/>
          <w:szCs w:val="28"/>
        </w:rPr>
        <w:t xml:space="preserve"> тыс. рублей</w:t>
      </w:r>
      <w:r w:rsidRPr="00550F6F">
        <w:rPr>
          <w:rFonts w:ascii="Times New Roman" w:eastAsia="Calibri" w:hAnsi="Times New Roman" w:cs="Times New Roman"/>
          <w:sz w:val="28"/>
          <w:szCs w:val="28"/>
        </w:rPr>
        <w:t xml:space="preserve"> + 912 696,0 </w:t>
      </w:r>
      <w:r w:rsidRPr="00550F6F">
        <w:rPr>
          <w:rFonts w:ascii="Times New Roman" w:eastAsia="Calibri" w:hAnsi="Times New Roman" w:cs="Times New Roman"/>
          <w:i/>
          <w:sz w:val="28"/>
          <w:szCs w:val="28"/>
        </w:rPr>
        <w:t>тыс. рублей</w:t>
      </w:r>
      <w:r w:rsidRPr="00550F6F">
        <w:rPr>
          <w:rFonts w:ascii="Times New Roman" w:eastAsia="Calibri" w:hAnsi="Times New Roman" w:cs="Times New Roman"/>
          <w:sz w:val="28"/>
          <w:szCs w:val="28"/>
        </w:rPr>
        <w:t xml:space="preserve">) * 100 = </w:t>
      </w:r>
      <w:r w:rsidRPr="00550F6F">
        <w:rPr>
          <w:rFonts w:ascii="Times New Roman" w:eastAsia="Calibri" w:hAnsi="Times New Roman" w:cs="Times New Roman"/>
          <w:b/>
          <w:sz w:val="28"/>
          <w:szCs w:val="28"/>
        </w:rPr>
        <w:t>0,4%</w:t>
      </w:r>
      <w:r w:rsidRPr="00550F6F">
        <w:rPr>
          <w:rFonts w:ascii="Times New Roman" w:eastAsia="Calibri" w:hAnsi="Times New Roman" w:cs="Times New Roman"/>
          <w:sz w:val="28"/>
          <w:szCs w:val="28"/>
        </w:rPr>
        <w:t xml:space="preserve"> (показатель </w:t>
      </w:r>
      <w:r w:rsidRPr="00550F6F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более 13 процентов)</w:t>
      </w:r>
      <w:r w:rsidRPr="00550F6F">
        <w:rPr>
          <w:rFonts w:ascii="Times New Roman" w:eastAsia="Calibri" w:hAnsi="Times New Roman" w:cs="Times New Roman"/>
          <w:sz w:val="28"/>
          <w:szCs w:val="28"/>
        </w:rPr>
        <w:t>, в том числе:</w:t>
      </w:r>
    </w:p>
    <w:p w:rsidR="00C45642" w:rsidRPr="00550F6F" w:rsidRDefault="00C45642" w:rsidP="00550F6F">
      <w:pPr>
        <w:pStyle w:val="ConsPlusNormal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50F6F">
        <w:rPr>
          <w:rFonts w:ascii="Times New Roman" w:eastAsia="Calibri" w:hAnsi="Times New Roman" w:cs="Times New Roman"/>
          <w:i/>
          <w:sz w:val="28"/>
          <w:szCs w:val="28"/>
        </w:rPr>
        <w:t>1 905,2 тыс. рублей (проценты за пользование бюджетным и коммерческим кредитом);</w:t>
      </w:r>
    </w:p>
    <w:p w:rsidR="00C45642" w:rsidRPr="00550F6F" w:rsidRDefault="00C45642" w:rsidP="00550F6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50F6F">
        <w:rPr>
          <w:rFonts w:ascii="Times New Roman" w:eastAsia="Calibri" w:hAnsi="Times New Roman" w:cs="Times New Roman"/>
          <w:sz w:val="28"/>
          <w:szCs w:val="28"/>
        </w:rPr>
        <w:t xml:space="preserve">3 000,0 </w:t>
      </w:r>
      <w:r w:rsidRPr="00550F6F">
        <w:rPr>
          <w:rFonts w:ascii="Times New Roman" w:eastAsia="Calibri" w:hAnsi="Times New Roman" w:cs="Times New Roman"/>
          <w:i/>
          <w:sz w:val="28"/>
          <w:szCs w:val="28"/>
        </w:rPr>
        <w:t xml:space="preserve">тыс. рублей </w:t>
      </w:r>
      <w:r w:rsidRPr="00550F6F">
        <w:rPr>
          <w:rFonts w:ascii="Times New Roman" w:eastAsia="Calibri" w:hAnsi="Times New Roman" w:cs="Times New Roman"/>
          <w:sz w:val="28"/>
          <w:szCs w:val="28"/>
        </w:rPr>
        <w:t>– сумма платежей по предоставленному</w:t>
      </w:r>
      <w:r w:rsidRPr="00550F6F">
        <w:rPr>
          <w:rFonts w:ascii="Times New Roman" w:eastAsia="Calibri" w:hAnsi="Times New Roman" w:cs="Times New Roman"/>
          <w:i/>
          <w:sz w:val="28"/>
          <w:szCs w:val="28"/>
        </w:rPr>
        <w:t xml:space="preserve"> из вышестоящего бюджета субъекта РФ 14.11.2019г. (договор от 14.11.2019г. № ДО-2019-13, доп. соглашение от 17.08.2020г.) бюджетного кредита (под 0,1% годовых) в объеме 30 000,0 тыс. рублей по графику гашения на март - июль 2020г. (с марта по июнь по 500,0 тыс. рублей, июль – 1000,0 тыс. рублей);</w:t>
      </w:r>
      <w:proofErr w:type="gramEnd"/>
    </w:p>
    <w:p w:rsidR="00C45642" w:rsidRPr="00550F6F" w:rsidRDefault="00C45642" w:rsidP="00550F6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0F6F">
        <w:rPr>
          <w:rFonts w:ascii="Times New Roman" w:eastAsia="Calibri" w:hAnsi="Times New Roman" w:cs="Times New Roman"/>
          <w:sz w:val="28"/>
          <w:szCs w:val="28"/>
        </w:rPr>
        <w:t xml:space="preserve">1 447,5 </w:t>
      </w:r>
      <w:r w:rsidRPr="00550F6F">
        <w:rPr>
          <w:rFonts w:ascii="Times New Roman" w:eastAsia="Calibri" w:hAnsi="Times New Roman" w:cs="Times New Roman"/>
          <w:i/>
          <w:sz w:val="28"/>
          <w:szCs w:val="28"/>
        </w:rPr>
        <w:t xml:space="preserve">тыс. рублей </w:t>
      </w:r>
      <w:r w:rsidRPr="00550F6F">
        <w:rPr>
          <w:rFonts w:ascii="Times New Roman" w:eastAsia="Calibri" w:hAnsi="Times New Roman" w:cs="Times New Roman"/>
          <w:sz w:val="28"/>
          <w:szCs w:val="28"/>
        </w:rPr>
        <w:t>– сумма платежей по предоставленному</w:t>
      </w:r>
      <w:r w:rsidRPr="00550F6F">
        <w:rPr>
          <w:rFonts w:ascii="Times New Roman" w:eastAsia="Calibri" w:hAnsi="Times New Roman" w:cs="Times New Roman"/>
          <w:i/>
          <w:sz w:val="28"/>
          <w:szCs w:val="28"/>
        </w:rPr>
        <w:t xml:space="preserve"> из вышестоящего бюджета субъекта РФ 18.06.2019г. (договор от 17.06.2019г. № ДО-2019-09) бюджетного кредита (под 0,1% годовых) в объеме 12866,6 тыс. рублей по графику гашения на январь – декабрь 2019г. (120,6т.р. ежемесячно);</w:t>
      </w:r>
    </w:p>
    <w:p w:rsidR="00C45642" w:rsidRPr="00550F6F" w:rsidRDefault="00C45642" w:rsidP="00550F6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0F6F">
        <w:rPr>
          <w:rFonts w:ascii="Times New Roman" w:eastAsia="Calibri" w:hAnsi="Times New Roman" w:cs="Times New Roman"/>
          <w:sz w:val="28"/>
          <w:szCs w:val="28"/>
        </w:rPr>
        <w:t xml:space="preserve">606 304,2 </w:t>
      </w:r>
      <w:r w:rsidRPr="00550F6F">
        <w:rPr>
          <w:rFonts w:ascii="Times New Roman" w:eastAsia="Calibri" w:hAnsi="Times New Roman" w:cs="Times New Roman"/>
          <w:i/>
          <w:sz w:val="28"/>
          <w:szCs w:val="28"/>
        </w:rPr>
        <w:t xml:space="preserve">тыс. рублей </w:t>
      </w:r>
      <w:r w:rsidRPr="00550F6F">
        <w:rPr>
          <w:rFonts w:ascii="Times New Roman" w:eastAsia="Calibri" w:hAnsi="Times New Roman" w:cs="Times New Roman"/>
          <w:sz w:val="28"/>
          <w:szCs w:val="28"/>
        </w:rPr>
        <w:t>(исполнение по налоговым и неналоговым доходам бюджета на 31.12.2020г.);</w:t>
      </w:r>
    </w:p>
    <w:p w:rsidR="00C45642" w:rsidRPr="00550F6F" w:rsidRDefault="00C45642" w:rsidP="00550F6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0F6F">
        <w:rPr>
          <w:rFonts w:ascii="Times New Roman" w:eastAsia="Calibri" w:hAnsi="Times New Roman" w:cs="Times New Roman"/>
          <w:sz w:val="28"/>
          <w:szCs w:val="28"/>
        </w:rPr>
        <w:t xml:space="preserve">912 696,0 </w:t>
      </w:r>
      <w:r w:rsidRPr="00550F6F">
        <w:rPr>
          <w:rFonts w:ascii="Times New Roman" w:eastAsia="Calibri" w:hAnsi="Times New Roman" w:cs="Times New Roman"/>
          <w:i/>
          <w:sz w:val="28"/>
          <w:szCs w:val="28"/>
        </w:rPr>
        <w:t xml:space="preserve">тыс. рублей </w:t>
      </w:r>
      <w:r w:rsidRPr="00550F6F">
        <w:rPr>
          <w:rFonts w:ascii="Times New Roman" w:eastAsia="Calibri" w:hAnsi="Times New Roman" w:cs="Times New Roman"/>
          <w:sz w:val="28"/>
          <w:szCs w:val="28"/>
        </w:rPr>
        <w:t>(исполнение по дотации бюджету городского округа на выравнивание бюджетной обеспеченности, на поддержку мер по обеспечению сбалансированности бюджетов).</w:t>
      </w:r>
    </w:p>
    <w:p w:rsidR="00C45642" w:rsidRPr="00550F6F" w:rsidRDefault="00C45642" w:rsidP="00550F6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F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3) доля расходов на обслуживание муниципального долга в общем объеме расходов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Федерации:</w:t>
      </w:r>
    </w:p>
    <w:p w:rsidR="00C45642" w:rsidRPr="00550F6F" w:rsidRDefault="00C45642" w:rsidP="00550F6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F6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ab/>
        <w:t xml:space="preserve">Расчет: (1905,2 тыс. рублей (расходы на обслуживание муниципального долга) / (3 301 589,4 тыс. рублей (исполнение по расходам бюджета всего) - 1 169 494,3 тыс. рублей (исполнение по расходам за счет субвенций)) * 100%) = </w:t>
      </w:r>
      <w:r w:rsidRPr="00550F6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0,09%</w:t>
      </w:r>
      <w:r w:rsidRPr="00550F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50F6F">
        <w:rPr>
          <w:rFonts w:ascii="Times New Roman" w:eastAsia="Calibri" w:hAnsi="Times New Roman" w:cs="Times New Roman"/>
          <w:sz w:val="28"/>
          <w:szCs w:val="28"/>
        </w:rPr>
        <w:t xml:space="preserve">(показатель </w:t>
      </w:r>
      <w:r w:rsidRPr="00550F6F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более 5 процентов)</w:t>
      </w:r>
      <w:r w:rsidRPr="00550F6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45642" w:rsidRPr="00550F6F" w:rsidRDefault="00C45642" w:rsidP="00550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eastAsia="Calibri" w:hAnsi="Times New Roman" w:cs="Times New Roman"/>
          <w:sz w:val="28"/>
          <w:szCs w:val="28"/>
        </w:rPr>
        <w:t xml:space="preserve">Совокупность показателей, установленных БК РФ позволяют получить объективную оценку состояния долговой устойчивости муниципального образования. </w:t>
      </w:r>
    </w:p>
    <w:p w:rsidR="00C45642" w:rsidRPr="00550F6F" w:rsidRDefault="00C45642" w:rsidP="00550F6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550F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По рассчитанным значениям показателей долговой устойчивости Анжеро-Судженский городской округ относится к группе заемщиков с высоким уровнем долговой устойчивости. </w:t>
      </w:r>
    </w:p>
    <w:p w:rsidR="00B04D35" w:rsidRPr="00550F6F" w:rsidRDefault="006C4654" w:rsidP="00550F6F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Большое внимание уделяется </w:t>
      </w:r>
      <w:r w:rsidR="00B04D35" w:rsidRPr="00550F6F">
        <w:rPr>
          <w:rFonts w:ascii="Times New Roman" w:eastAsia="Times New Roman" w:hAnsi="Times New Roman" w:cs="Times New Roman"/>
          <w:sz w:val="28"/>
          <w:szCs w:val="28"/>
        </w:rPr>
        <w:t>повышени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>ю</w:t>
      </w:r>
      <w:r w:rsidR="00B04D35" w:rsidRPr="00550F6F">
        <w:rPr>
          <w:rFonts w:ascii="Times New Roman" w:eastAsia="Times New Roman" w:hAnsi="Times New Roman" w:cs="Times New Roman"/>
          <w:sz w:val="28"/>
          <w:szCs w:val="28"/>
        </w:rPr>
        <w:t xml:space="preserve"> прозрачности и открытости бюджетного процесса, обеспечения вовлеченности граждан в бюджетный процесс. Финансовым управлением своевременно публикуется бюджет и отчет о его исполнении в доступной для граждан форме на официальном сайте Администрации 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>Анжеро-Судженского городского округа</w:t>
      </w:r>
      <w:r w:rsidR="00B04D35" w:rsidRPr="00550F6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 Кроме того, на сайте публикуются другие материалы по бюджетному процессу и исполнению бюджета.</w:t>
      </w:r>
    </w:p>
    <w:p w:rsidR="00B04D35" w:rsidRPr="00550F6F" w:rsidRDefault="00B04D35" w:rsidP="00550F6F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6F">
        <w:rPr>
          <w:rFonts w:ascii="Times New Roman" w:eastAsia="Times New Roman" w:hAnsi="Times New Roman" w:cs="Times New Roman"/>
          <w:sz w:val="28"/>
          <w:szCs w:val="28"/>
        </w:rPr>
        <w:t>Всего в целях качественного и полного осуществления расходных обязате</w:t>
      </w:r>
      <w:r w:rsidR="006C4654" w:rsidRPr="00550F6F">
        <w:rPr>
          <w:rFonts w:ascii="Times New Roman" w:eastAsia="Times New Roman" w:hAnsi="Times New Roman" w:cs="Times New Roman"/>
          <w:sz w:val="28"/>
          <w:szCs w:val="28"/>
        </w:rPr>
        <w:t>льств в 20</w:t>
      </w:r>
      <w:r w:rsidR="007D2305" w:rsidRPr="00550F6F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C4654" w:rsidRPr="00550F6F">
        <w:rPr>
          <w:rFonts w:ascii="Times New Roman" w:eastAsia="Times New Roman" w:hAnsi="Times New Roman" w:cs="Times New Roman"/>
          <w:sz w:val="28"/>
          <w:szCs w:val="28"/>
        </w:rPr>
        <w:t xml:space="preserve"> году подготовлено </w:t>
      </w:r>
      <w:r w:rsidR="007D2305" w:rsidRPr="00550F6F">
        <w:rPr>
          <w:rFonts w:ascii="Times New Roman" w:eastAsia="Times New Roman" w:hAnsi="Times New Roman" w:cs="Times New Roman"/>
          <w:sz w:val="28"/>
          <w:szCs w:val="28"/>
        </w:rPr>
        <w:t>7</w:t>
      </w:r>
      <w:r w:rsidR="006C4654" w:rsidRPr="00550F6F">
        <w:rPr>
          <w:rFonts w:ascii="Times New Roman" w:eastAsia="Times New Roman" w:hAnsi="Times New Roman" w:cs="Times New Roman"/>
          <w:sz w:val="28"/>
          <w:szCs w:val="28"/>
        </w:rPr>
        <w:t xml:space="preserve"> проектов решения Совета народных депутато</w:t>
      </w:r>
      <w:r w:rsidR="00FC393B" w:rsidRPr="00550F6F">
        <w:rPr>
          <w:rFonts w:ascii="Times New Roman" w:eastAsia="Times New Roman" w:hAnsi="Times New Roman" w:cs="Times New Roman"/>
          <w:sz w:val="28"/>
          <w:szCs w:val="28"/>
        </w:rPr>
        <w:t>в о внесении изменений в бюджет, на которые получены положительные заключения прокуратуры и контрольно-счетной палаты Анжеро-Судженского городского округа. Подготовлен проект решения СНД об исполнении бюджета городского округа за 201</w:t>
      </w:r>
      <w:r w:rsidR="007D2305" w:rsidRPr="00550F6F">
        <w:rPr>
          <w:rFonts w:ascii="Times New Roman" w:eastAsia="Times New Roman" w:hAnsi="Times New Roman" w:cs="Times New Roman"/>
          <w:sz w:val="28"/>
          <w:szCs w:val="28"/>
        </w:rPr>
        <w:t>9</w:t>
      </w:r>
      <w:r w:rsidR="00FC393B" w:rsidRPr="00550F6F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E072AD" w:rsidRPr="00550F6F" w:rsidRDefault="00E072AD" w:rsidP="00550F6F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6F">
        <w:rPr>
          <w:rFonts w:ascii="Times New Roman" w:eastAsia="Times New Roman" w:hAnsi="Times New Roman" w:cs="Times New Roman"/>
          <w:sz w:val="28"/>
          <w:szCs w:val="28"/>
        </w:rPr>
        <w:t>Для обеспечения сбалансированности и устойчивости местного бюджета постановлением администрации Анжеро-Судженского городского округа  от 07.11.2018 №1474 « Об утверждении Программы финансового оздоровления Анжеро - Судженского городского округа на 2018-2021 годы, утвержден план мероприятий по финансовому оздоровлению Анжеро - Судженского городского округа. На основании, которого ежеквартально специалистами управления проводится анализ бюджетного эффекта мероприятий по увеличению доходов и совершенствованию долговой политики, а также эффективности расходов.</w:t>
      </w:r>
    </w:p>
    <w:p w:rsidR="002C5764" w:rsidRPr="00550F6F" w:rsidRDefault="002C5764" w:rsidP="00550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Основными направлениями реализации Программы являются:</w:t>
      </w:r>
    </w:p>
    <w:p w:rsidR="002C5764" w:rsidRPr="00550F6F" w:rsidRDefault="002C5764" w:rsidP="00550F6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- увеличение роста налоговых и неналоговых доходов местного бюджета;</w:t>
      </w:r>
    </w:p>
    <w:p w:rsidR="002C5764" w:rsidRPr="00550F6F" w:rsidRDefault="002C5764" w:rsidP="00550F6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- оптимизация расходов местного бюджета;</w:t>
      </w:r>
    </w:p>
    <w:p w:rsidR="002C5764" w:rsidRPr="00550F6F" w:rsidRDefault="002C5764" w:rsidP="00550F6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- сокращение муниципального долга городского округа.</w:t>
      </w:r>
    </w:p>
    <w:p w:rsidR="002C5764" w:rsidRPr="00550F6F" w:rsidRDefault="002C5764" w:rsidP="00550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Реализация Программы позволяет:</w:t>
      </w:r>
    </w:p>
    <w:p w:rsidR="002C5764" w:rsidRPr="00550F6F" w:rsidRDefault="002C5764" w:rsidP="00550F6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- улучшить состояние муниципальных финансов городского округа;</w:t>
      </w:r>
    </w:p>
    <w:p w:rsidR="002C5764" w:rsidRPr="00550F6F" w:rsidRDefault="002C5764" w:rsidP="00550F6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- укрепить устойчивость бюджетной системы городского округа;</w:t>
      </w:r>
    </w:p>
    <w:p w:rsidR="002C5764" w:rsidRPr="00550F6F" w:rsidRDefault="002C5764" w:rsidP="00550F6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- повысить качество управления муниципальными финансами, эффективность и результативность бюджетных расходов;</w:t>
      </w:r>
    </w:p>
    <w:p w:rsidR="002C5764" w:rsidRPr="00550F6F" w:rsidRDefault="002C5764" w:rsidP="00550F6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 xml:space="preserve">- обеспечить сокращение долговой нагрузки на местный </w:t>
      </w:r>
      <w:r w:rsidRPr="00550F6F">
        <w:rPr>
          <w:rFonts w:ascii="Times New Roman" w:hAnsi="Times New Roman" w:cs="Times New Roman"/>
          <w:sz w:val="28"/>
          <w:szCs w:val="28"/>
        </w:rPr>
        <w:br/>
        <w:t>бюджет и своевременное исполнение долговых обязательств городского округа;</w:t>
      </w:r>
    </w:p>
    <w:p w:rsidR="002C5764" w:rsidRPr="00550F6F" w:rsidRDefault="002C5764" w:rsidP="00550F6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- снизить расходы по обслуживанию муниципального долга городского округа.</w:t>
      </w:r>
    </w:p>
    <w:p w:rsidR="002C5764" w:rsidRPr="00550F6F" w:rsidRDefault="002C5764" w:rsidP="00550F6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lastRenderedPageBreak/>
        <w:t>Планомерная и последовательная реализация плана мероприятий                по финансовому оздоровлению городского округа за 2020 позволила достичь следующих результатов:</w:t>
      </w:r>
    </w:p>
    <w:p w:rsidR="002C5764" w:rsidRPr="00550F6F" w:rsidRDefault="002C5764" w:rsidP="00550F6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 xml:space="preserve">привлечь дополнительные доходы в местный бюджет: в </w:t>
      </w:r>
      <w:r w:rsidR="00FF07A0" w:rsidRPr="00550F6F">
        <w:rPr>
          <w:rFonts w:ascii="Times New Roman" w:hAnsi="Times New Roman" w:cs="Times New Roman"/>
          <w:sz w:val="28"/>
          <w:szCs w:val="28"/>
        </w:rPr>
        <w:t>объеме 41,58 млн. рублей;</w:t>
      </w:r>
    </w:p>
    <w:p w:rsidR="002C5764" w:rsidRPr="00550F6F" w:rsidRDefault="002C5764" w:rsidP="00550F6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 xml:space="preserve">получить бюджетный эффект от повышения эффективности            </w:t>
      </w:r>
      <w:r w:rsidR="00FF07A0" w:rsidRPr="00550F6F">
        <w:rPr>
          <w:rFonts w:ascii="Times New Roman" w:hAnsi="Times New Roman" w:cs="Times New Roman"/>
          <w:sz w:val="28"/>
          <w:szCs w:val="28"/>
        </w:rPr>
        <w:t xml:space="preserve">     расходов местного бюджета в объеме – 29,4 млн. рублей.</w:t>
      </w:r>
    </w:p>
    <w:p w:rsidR="005B57E9" w:rsidRPr="00550F6F" w:rsidRDefault="00B04D35" w:rsidP="00550F6F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В отчетном периоде проведена оценка качества управления финансами </w:t>
      </w:r>
      <w:r w:rsidR="006C4654" w:rsidRPr="00550F6F">
        <w:rPr>
          <w:rFonts w:ascii="Times New Roman" w:eastAsia="Times New Roman" w:hAnsi="Times New Roman" w:cs="Times New Roman"/>
          <w:sz w:val="28"/>
          <w:szCs w:val="28"/>
        </w:rPr>
        <w:t xml:space="preserve">ГРБС 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>на основании проведения мониторинга качества финансового менеджмента.</w:t>
      </w:r>
      <w:r w:rsidR="0023591C" w:rsidRPr="00550F6F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FF07A0" w:rsidRPr="00550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591C" w:rsidRPr="00550F6F">
        <w:rPr>
          <w:rFonts w:ascii="Times New Roman" w:hAnsi="Times New Roman" w:cs="Times New Roman"/>
          <w:sz w:val="28"/>
          <w:szCs w:val="28"/>
        </w:rPr>
        <w:t xml:space="preserve">анализ совокупности процессов и процедур, обеспечивающих эффективность и результативность использования бюджетных средств, осуществляемых главными администраторами средств местного бюджета. Оценка охватывает основные элементы бюджетного процесса (составление проекта бюджета, исполнение бюджета, учет и отчетность, контроль). </w:t>
      </w:r>
      <w:r w:rsidR="005B57E9" w:rsidRPr="00550F6F">
        <w:rPr>
          <w:rFonts w:ascii="Times New Roman" w:hAnsi="Times New Roman" w:cs="Times New Roman"/>
          <w:sz w:val="28"/>
          <w:szCs w:val="28"/>
        </w:rPr>
        <w:t>Постоянно велась методологическая работа с главными распорядителями бюджетных средств, в части планирования и исполнения бюджета.</w:t>
      </w:r>
    </w:p>
    <w:p w:rsidR="005B57E9" w:rsidRPr="00550F6F" w:rsidRDefault="0023591C" w:rsidP="00550F6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F6F">
        <w:rPr>
          <w:rFonts w:ascii="Times New Roman" w:hAnsi="Times New Roman" w:cs="Times New Roman"/>
          <w:sz w:val="28"/>
          <w:szCs w:val="28"/>
        </w:rPr>
        <w:t>Постановлением администрац</w:t>
      </w:r>
      <w:r w:rsidR="005B57E9" w:rsidRPr="00550F6F">
        <w:rPr>
          <w:rFonts w:ascii="Times New Roman" w:hAnsi="Times New Roman" w:cs="Times New Roman"/>
          <w:sz w:val="28"/>
          <w:szCs w:val="28"/>
        </w:rPr>
        <w:t>ии Анжеро-Судженского города от</w:t>
      </w:r>
      <w:r w:rsidR="005B57E9" w:rsidRPr="00550F6F">
        <w:rPr>
          <w:rFonts w:ascii="Times New Roman" w:hAnsi="Times New Roman" w:cs="Times New Roman"/>
          <w:bCs/>
          <w:sz w:val="28"/>
          <w:szCs w:val="28"/>
        </w:rPr>
        <w:t xml:space="preserve"> 30.12.2015 № 2088 «</w:t>
      </w:r>
      <w:r w:rsidR="005B57E9" w:rsidRPr="00550F6F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мониторинга качества финансового менеджмента, осуществляемого главными распорядителями средств бюджета муниципального образования «Анжеро-Судженский городской округ» (с учетом изменений) </w:t>
      </w:r>
      <w:r w:rsidRPr="00550F6F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5B57E9" w:rsidRPr="00550F6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550F6F">
        <w:rPr>
          <w:rFonts w:ascii="Times New Roman" w:hAnsi="Times New Roman" w:cs="Times New Roman"/>
          <w:sz w:val="28"/>
          <w:szCs w:val="28"/>
        </w:rPr>
        <w:t>формирования стимулов и поощрения главных администраторов средств бюджета муниципального образования "Анжеро-Судженский городской округ" (далее - местный бюджет) за достижение наилучших показателей по результатам оценки качества финансового менеджмента, в том числе повышение</w:t>
      </w:r>
      <w:proofErr w:type="gramEnd"/>
      <w:r w:rsidRPr="00550F6F">
        <w:rPr>
          <w:rFonts w:ascii="Times New Roman" w:hAnsi="Times New Roman" w:cs="Times New Roman"/>
          <w:sz w:val="28"/>
          <w:szCs w:val="28"/>
        </w:rPr>
        <w:t xml:space="preserve"> эффективности бюджетных расходов.</w:t>
      </w:r>
    </w:p>
    <w:p w:rsidR="005B57E9" w:rsidRPr="00550F6F" w:rsidRDefault="005B57E9" w:rsidP="00550F6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 xml:space="preserve">По итогам проведенного мониторинга за 2019г. составлен протокол от 18.05.2020г. заседания экспертной комиссии по рассмотрению результатов мониторинга качества финансового менеджмента, осуществляемого главными распорядителями средств бюджета муниципального образования «Анжеро-Судженский городской округ», вручены поощрения </w:t>
      </w:r>
      <w:r w:rsidRPr="00550F6F">
        <w:rPr>
          <w:rFonts w:ascii="Times New Roman" w:hAnsi="Times New Roman" w:cs="Times New Roman"/>
          <w:bCs/>
          <w:sz w:val="28"/>
          <w:szCs w:val="28"/>
        </w:rPr>
        <w:t xml:space="preserve">трем главным </w:t>
      </w:r>
      <w:r w:rsidRPr="00550F6F">
        <w:rPr>
          <w:rFonts w:ascii="Times New Roman" w:hAnsi="Times New Roman" w:cs="Times New Roman"/>
          <w:sz w:val="28"/>
          <w:szCs w:val="28"/>
        </w:rPr>
        <w:t xml:space="preserve">распорядителям бюджетных средств, </w:t>
      </w:r>
      <w:r w:rsidRPr="00550F6F">
        <w:rPr>
          <w:rFonts w:ascii="Times New Roman" w:hAnsi="Times New Roman" w:cs="Times New Roman"/>
          <w:bCs/>
          <w:sz w:val="28"/>
          <w:szCs w:val="28"/>
        </w:rPr>
        <w:t>достигшим наилучшие показатели по результатам проведенного мониторинга качества за 2019 год:</w:t>
      </w:r>
    </w:p>
    <w:p w:rsidR="005B57E9" w:rsidRPr="00550F6F" w:rsidRDefault="005B57E9" w:rsidP="00550F6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F6F">
        <w:rPr>
          <w:rFonts w:ascii="Times New Roman" w:hAnsi="Times New Roman" w:cs="Times New Roman"/>
          <w:bCs/>
          <w:sz w:val="28"/>
          <w:szCs w:val="28"/>
        </w:rPr>
        <w:t xml:space="preserve">управлению культуры администрации Анжеро-Судженского городского округа - в размере 50000 рублей - за первое место; </w:t>
      </w:r>
    </w:p>
    <w:p w:rsidR="005B57E9" w:rsidRPr="00550F6F" w:rsidRDefault="005B57E9" w:rsidP="00550F6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F6F">
        <w:rPr>
          <w:rFonts w:ascii="Times New Roman" w:hAnsi="Times New Roman" w:cs="Times New Roman"/>
          <w:bCs/>
          <w:sz w:val="28"/>
          <w:szCs w:val="28"/>
        </w:rPr>
        <w:t>комитету физкультуры и спорта администрации Анжеро-Судженского городского округ</w:t>
      </w:r>
      <w:proofErr w:type="gramStart"/>
      <w:r w:rsidRPr="00550F6F">
        <w:rPr>
          <w:rFonts w:ascii="Times New Roman" w:hAnsi="Times New Roman" w:cs="Times New Roman"/>
          <w:bCs/>
          <w:sz w:val="28"/>
          <w:szCs w:val="28"/>
        </w:rPr>
        <w:t>а-</w:t>
      </w:r>
      <w:proofErr w:type="gramEnd"/>
      <w:r w:rsidRPr="00550F6F">
        <w:rPr>
          <w:rFonts w:ascii="Times New Roman" w:hAnsi="Times New Roman" w:cs="Times New Roman"/>
          <w:bCs/>
          <w:sz w:val="28"/>
          <w:szCs w:val="28"/>
        </w:rPr>
        <w:t xml:space="preserve"> в размере 30000 рублей - за второе место; </w:t>
      </w:r>
    </w:p>
    <w:p w:rsidR="005B57E9" w:rsidRPr="00550F6F" w:rsidRDefault="005B57E9" w:rsidP="00550F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bCs/>
          <w:sz w:val="28"/>
          <w:szCs w:val="28"/>
        </w:rPr>
        <w:t>управлению жилищно-коммунального хозяйства администрации Анжеро-Судженского городского округа - в размере 20000 рублей - за третье место.</w:t>
      </w:r>
    </w:p>
    <w:p w:rsidR="00103E34" w:rsidRPr="00550F6F" w:rsidRDefault="00103E34" w:rsidP="00550F6F">
      <w:pPr>
        <w:shd w:val="clear" w:color="auto" w:fill="FFFFFF"/>
        <w:spacing w:after="105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F6F">
        <w:rPr>
          <w:rFonts w:ascii="Times New Roman" w:hAnsi="Times New Roman" w:cs="Times New Roman"/>
          <w:sz w:val="28"/>
          <w:szCs w:val="28"/>
        </w:rPr>
        <w:t>В соответствии с Порядком составления и ведения сводной бюджетной росписи бюджета Анжеро-Судженского городского округа и бюджетных росписей главных распорядителей средств бюджета округа и главных администраторов источников финансирования дефицита бюджета округа, в 20</w:t>
      </w:r>
      <w:r w:rsidR="007D2305" w:rsidRPr="00550F6F">
        <w:rPr>
          <w:rFonts w:ascii="Times New Roman" w:hAnsi="Times New Roman" w:cs="Times New Roman"/>
          <w:sz w:val="28"/>
          <w:szCs w:val="28"/>
        </w:rPr>
        <w:t>20</w:t>
      </w:r>
      <w:r w:rsidRPr="00550F6F">
        <w:rPr>
          <w:rFonts w:ascii="Times New Roman" w:hAnsi="Times New Roman" w:cs="Times New Roman"/>
          <w:sz w:val="28"/>
          <w:szCs w:val="28"/>
        </w:rPr>
        <w:t xml:space="preserve"> году специалистами </w:t>
      </w:r>
      <w:r w:rsidR="007D2305" w:rsidRPr="00550F6F">
        <w:rPr>
          <w:rFonts w:ascii="Times New Roman" w:hAnsi="Times New Roman" w:cs="Times New Roman"/>
          <w:sz w:val="28"/>
          <w:szCs w:val="28"/>
        </w:rPr>
        <w:t>ф</w:t>
      </w:r>
      <w:r w:rsidRPr="00550F6F">
        <w:rPr>
          <w:rFonts w:ascii="Times New Roman" w:hAnsi="Times New Roman" w:cs="Times New Roman"/>
          <w:sz w:val="28"/>
          <w:szCs w:val="28"/>
        </w:rPr>
        <w:t xml:space="preserve">инансового управления сформирована </w:t>
      </w:r>
      <w:r w:rsidRPr="00550F6F">
        <w:rPr>
          <w:rFonts w:ascii="Times New Roman" w:hAnsi="Times New Roman" w:cs="Times New Roman"/>
          <w:sz w:val="28"/>
          <w:szCs w:val="28"/>
        </w:rPr>
        <w:lastRenderedPageBreak/>
        <w:t>сводная бюджетная роспись и своевременно вн</w:t>
      </w:r>
      <w:r w:rsidR="004447C5" w:rsidRPr="00550F6F">
        <w:rPr>
          <w:rFonts w:ascii="Times New Roman" w:hAnsi="Times New Roman" w:cs="Times New Roman"/>
          <w:sz w:val="28"/>
          <w:szCs w:val="28"/>
        </w:rPr>
        <w:t>о</w:t>
      </w:r>
      <w:r w:rsidRPr="00550F6F">
        <w:rPr>
          <w:rFonts w:ascii="Times New Roman" w:hAnsi="Times New Roman" w:cs="Times New Roman"/>
          <w:sz w:val="28"/>
          <w:szCs w:val="28"/>
        </w:rPr>
        <w:t>сились в течение отчетного периода изменения в сводную бюджетную роспись.</w:t>
      </w:r>
      <w:proofErr w:type="gramEnd"/>
      <w:r w:rsidRPr="00550F6F">
        <w:rPr>
          <w:rFonts w:ascii="Times New Roman" w:hAnsi="Times New Roman" w:cs="Times New Roman"/>
          <w:sz w:val="28"/>
          <w:szCs w:val="28"/>
        </w:rPr>
        <w:t xml:space="preserve"> Финансовым управлением сформированы и доведены до главных распорядителей бюджетных средств уведомления о предельных объемах финансирования. Вносились изменения в предельные объемы финансирования между направлениями расходов.</w:t>
      </w:r>
    </w:p>
    <w:p w:rsidR="00381891" w:rsidRPr="00550F6F" w:rsidRDefault="00FC393B" w:rsidP="00550F6F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 xml:space="preserve">Финансовым управлением г. Анжеро-Судженска ведется и своевременно предоставляется в </w:t>
      </w:r>
      <w:r w:rsidR="007D2305" w:rsidRPr="00550F6F">
        <w:rPr>
          <w:rFonts w:ascii="Times New Roman" w:hAnsi="Times New Roman" w:cs="Times New Roman"/>
          <w:sz w:val="28"/>
          <w:szCs w:val="28"/>
        </w:rPr>
        <w:t>Министерство финансов Кузбасса</w:t>
      </w:r>
      <w:r w:rsidRPr="00550F6F">
        <w:rPr>
          <w:rFonts w:ascii="Times New Roman" w:hAnsi="Times New Roman" w:cs="Times New Roman"/>
          <w:sz w:val="28"/>
          <w:szCs w:val="28"/>
        </w:rPr>
        <w:t xml:space="preserve">  </w:t>
      </w:r>
      <w:r w:rsidR="007D2305" w:rsidRPr="00550F6F">
        <w:rPr>
          <w:rFonts w:ascii="Times New Roman" w:hAnsi="Times New Roman" w:cs="Times New Roman"/>
          <w:sz w:val="28"/>
          <w:szCs w:val="28"/>
        </w:rPr>
        <w:t>р</w:t>
      </w:r>
      <w:r w:rsidRPr="00550F6F">
        <w:rPr>
          <w:rFonts w:ascii="Times New Roman" w:hAnsi="Times New Roman" w:cs="Times New Roman"/>
          <w:sz w:val="28"/>
          <w:szCs w:val="28"/>
        </w:rPr>
        <w:t>еестр расходных обязательств.</w:t>
      </w:r>
    </w:p>
    <w:p w:rsidR="00E32D65" w:rsidRPr="00550F6F" w:rsidRDefault="00B04D35" w:rsidP="00550F6F">
      <w:pPr>
        <w:shd w:val="clear" w:color="auto" w:fill="FFFFFF"/>
        <w:spacing w:after="105" w:line="240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Уставом </w:t>
      </w:r>
      <w:r w:rsidR="00381891" w:rsidRPr="00550F6F">
        <w:rPr>
          <w:rFonts w:ascii="Times New Roman" w:eastAsia="Times New Roman" w:hAnsi="Times New Roman" w:cs="Times New Roman"/>
          <w:sz w:val="28"/>
          <w:szCs w:val="28"/>
        </w:rPr>
        <w:t xml:space="preserve">Анжеро-Судженского городского округа </w:t>
      </w:r>
      <w:r w:rsidR="007D2305" w:rsidRPr="00550F6F">
        <w:rPr>
          <w:rFonts w:ascii="Times New Roman" w:eastAsia="Times New Roman" w:hAnsi="Times New Roman" w:cs="Times New Roman"/>
          <w:sz w:val="28"/>
          <w:szCs w:val="28"/>
        </w:rPr>
        <w:t xml:space="preserve"> финансовым управлением в 2020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 году осуществлялось формирование отчета об исполнении бюджета </w:t>
      </w:r>
      <w:r w:rsidR="00E32D65" w:rsidRPr="00550F6F">
        <w:rPr>
          <w:rFonts w:ascii="Times New Roman" w:eastAsia="Times New Roman" w:hAnsi="Times New Roman" w:cs="Times New Roman"/>
          <w:sz w:val="28"/>
          <w:szCs w:val="28"/>
        </w:rPr>
        <w:t xml:space="preserve">Анжеро-Судженского городского округа 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 за 1 квартал, полугодие</w:t>
      </w:r>
      <w:r w:rsidR="00E00AD9" w:rsidRPr="00550F6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 девять месяцев </w:t>
      </w:r>
      <w:r w:rsidR="00E00AD9" w:rsidRPr="00550F6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E00AD9" w:rsidRPr="00550F6F">
        <w:rPr>
          <w:rFonts w:ascii="Times New Roman" w:hAnsi="Times New Roman" w:cs="Times New Roman"/>
          <w:sz w:val="28"/>
          <w:szCs w:val="28"/>
        </w:rPr>
        <w:t>за очередной финансовый год</w:t>
      </w:r>
      <w:r w:rsidR="00E00AD9" w:rsidRPr="00550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для направления </w:t>
      </w:r>
      <w:r w:rsidR="00E32D65" w:rsidRPr="00550F6F">
        <w:rPr>
          <w:rFonts w:ascii="Times New Roman" w:hAnsi="Times New Roman" w:cs="Times New Roman"/>
          <w:bCs/>
          <w:sz w:val="28"/>
          <w:szCs w:val="28"/>
        </w:rPr>
        <w:t>в Совет народных депутатов Анжеро-Судженского городского округа, Контрольно-счетную палату Анжеро-Судженского городского округа.</w:t>
      </w:r>
    </w:p>
    <w:p w:rsidR="00B04D35" w:rsidRPr="00550F6F" w:rsidRDefault="00B04D35" w:rsidP="00550F6F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6F">
        <w:rPr>
          <w:rFonts w:ascii="Times New Roman" w:eastAsia="Times New Roman" w:hAnsi="Times New Roman" w:cs="Times New Roman"/>
          <w:sz w:val="28"/>
          <w:szCs w:val="28"/>
        </w:rPr>
        <w:t>Консолидированная годовая бюджетная</w:t>
      </w:r>
      <w:r w:rsidR="007A1E14" w:rsidRPr="00550F6F">
        <w:rPr>
          <w:rFonts w:ascii="Times New Roman" w:eastAsia="Times New Roman" w:hAnsi="Times New Roman" w:cs="Times New Roman"/>
          <w:sz w:val="28"/>
          <w:szCs w:val="28"/>
        </w:rPr>
        <w:t xml:space="preserve"> и бухгалтерская 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 отчетность </w:t>
      </w:r>
      <w:r w:rsidR="007A1E14" w:rsidRPr="00550F6F">
        <w:rPr>
          <w:rFonts w:ascii="Times New Roman" w:eastAsia="Times New Roman" w:hAnsi="Times New Roman" w:cs="Times New Roman"/>
          <w:sz w:val="28"/>
          <w:szCs w:val="28"/>
        </w:rPr>
        <w:t>Анжеро-Судженского городского округа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 за 20</w:t>
      </w:r>
      <w:r w:rsidR="007D2305" w:rsidRPr="00550F6F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 год финансовым управлением представлена в 20</w:t>
      </w:r>
      <w:r w:rsidR="007B0889" w:rsidRPr="00550F6F">
        <w:rPr>
          <w:rFonts w:ascii="Times New Roman" w:eastAsia="Times New Roman" w:hAnsi="Times New Roman" w:cs="Times New Roman"/>
          <w:sz w:val="28"/>
          <w:szCs w:val="28"/>
        </w:rPr>
        <w:t>2</w:t>
      </w:r>
      <w:r w:rsidR="007D2305" w:rsidRPr="00550F6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 году в полном объеме предусмотренных форм и в срок, установленный </w:t>
      </w:r>
      <w:r w:rsidR="007D2305" w:rsidRPr="00550F6F">
        <w:rPr>
          <w:rFonts w:ascii="Times New Roman" w:hAnsi="Times New Roman" w:cs="Times New Roman"/>
          <w:sz w:val="28"/>
          <w:szCs w:val="28"/>
        </w:rPr>
        <w:t>министерством финансов Кузбасса.</w:t>
      </w:r>
    </w:p>
    <w:p w:rsidR="00B04D35" w:rsidRPr="00550F6F" w:rsidRDefault="00E00AD9" w:rsidP="00550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ab/>
      </w:r>
      <w:r w:rsidR="00B04D35" w:rsidRPr="00550F6F">
        <w:rPr>
          <w:rFonts w:ascii="Times New Roman" w:eastAsia="Times New Roman" w:hAnsi="Times New Roman" w:cs="Times New Roman"/>
          <w:sz w:val="28"/>
          <w:szCs w:val="28"/>
        </w:rPr>
        <w:t xml:space="preserve">Кроме того, финансовым управлением ежемесячно и ежеквартально осуществлялся прием и проверка на соответствие контрольным соотношениям бюджетной отчетности главных распорядителей средств </w:t>
      </w:r>
      <w:r w:rsidR="007A1E14" w:rsidRPr="00550F6F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B04D35" w:rsidRPr="00550F6F">
        <w:rPr>
          <w:rFonts w:ascii="Times New Roman" w:eastAsia="Times New Roman" w:hAnsi="Times New Roman" w:cs="Times New Roman"/>
          <w:sz w:val="28"/>
          <w:szCs w:val="28"/>
        </w:rPr>
        <w:t xml:space="preserve"> бюджета, сводной бухгалтерской отчетности муниципальных бюджетных учреждений. Также ежемесячно и ежеквартально в срок, установленный </w:t>
      </w:r>
      <w:r w:rsidR="003D627E" w:rsidRPr="00550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2305" w:rsidRPr="00550F6F">
        <w:rPr>
          <w:rFonts w:ascii="Times New Roman" w:hAnsi="Times New Roman" w:cs="Times New Roman"/>
          <w:sz w:val="28"/>
          <w:szCs w:val="28"/>
        </w:rPr>
        <w:t>министерством финансов Кузбасса</w:t>
      </w:r>
      <w:r w:rsidR="00B04D35" w:rsidRPr="00550F6F">
        <w:rPr>
          <w:rFonts w:ascii="Times New Roman" w:eastAsia="Times New Roman" w:hAnsi="Times New Roman" w:cs="Times New Roman"/>
          <w:sz w:val="28"/>
          <w:szCs w:val="28"/>
        </w:rPr>
        <w:t xml:space="preserve">, финансовым управлением формировалась и представлялась в полном объеме форм отчетность об исполнении консолидированного бюджета </w:t>
      </w:r>
      <w:r w:rsidR="00B7102C" w:rsidRPr="00550F6F">
        <w:rPr>
          <w:rFonts w:ascii="Times New Roman" w:eastAsia="Times New Roman" w:hAnsi="Times New Roman" w:cs="Times New Roman"/>
          <w:sz w:val="28"/>
          <w:szCs w:val="28"/>
        </w:rPr>
        <w:t>Анжеро-Судженского городского округа</w:t>
      </w:r>
      <w:r w:rsidR="00B04D35" w:rsidRPr="00550F6F">
        <w:rPr>
          <w:rFonts w:ascii="Times New Roman" w:eastAsia="Times New Roman" w:hAnsi="Times New Roman" w:cs="Times New Roman"/>
          <w:sz w:val="28"/>
          <w:szCs w:val="28"/>
        </w:rPr>
        <w:t>, сводная бухгалтерская отчетность муниципальных бюджетных учреждений.</w:t>
      </w:r>
    </w:p>
    <w:p w:rsidR="00B04D35" w:rsidRPr="00550F6F" w:rsidRDefault="00B04D35" w:rsidP="00550F6F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результативности и эффективности использования бюджетных средств финансовым управлением ежемесячно по результатам сформированной бюджетной (бухгалтерской) отчетности осуществляется мониторинг просроченной кредиторской задолженности главных распорядителей средств </w:t>
      </w:r>
      <w:r w:rsidR="003D627E" w:rsidRPr="00550F6F">
        <w:rPr>
          <w:rFonts w:ascii="Times New Roman" w:eastAsia="Times New Roman" w:hAnsi="Times New Roman" w:cs="Times New Roman"/>
          <w:sz w:val="28"/>
          <w:szCs w:val="28"/>
        </w:rPr>
        <w:t>местного бюджета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, муниципальных казенных учреждений </w:t>
      </w:r>
      <w:r w:rsidR="003D627E" w:rsidRPr="00550F6F"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="006E61F9" w:rsidRPr="00550F6F"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1229C6" w:rsidRPr="00550F6F">
        <w:rPr>
          <w:rFonts w:ascii="Times New Roman" w:eastAsia="Times New Roman" w:hAnsi="Times New Roman" w:cs="Times New Roman"/>
          <w:sz w:val="28"/>
          <w:szCs w:val="28"/>
        </w:rPr>
        <w:t>росроченной задолженности за 20</w:t>
      </w:r>
      <w:r w:rsidR="007D2305" w:rsidRPr="00550F6F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229C6" w:rsidRPr="00550F6F">
        <w:rPr>
          <w:rFonts w:ascii="Times New Roman" w:eastAsia="Times New Roman" w:hAnsi="Times New Roman" w:cs="Times New Roman"/>
          <w:sz w:val="28"/>
          <w:szCs w:val="28"/>
        </w:rPr>
        <w:t xml:space="preserve"> год нет.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29C6" w:rsidRPr="00550F6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>акже</w:t>
      </w:r>
      <w:r w:rsidR="001229C6" w:rsidRPr="00550F6F">
        <w:rPr>
          <w:rFonts w:ascii="Times New Roman" w:eastAsia="Times New Roman" w:hAnsi="Times New Roman" w:cs="Times New Roman"/>
          <w:sz w:val="28"/>
          <w:szCs w:val="28"/>
        </w:rPr>
        <w:t xml:space="preserve"> проводится анализ 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 остатков средств на лицевых счетах главных распорядителей средств </w:t>
      </w:r>
      <w:r w:rsidR="003D627E" w:rsidRPr="00550F6F">
        <w:rPr>
          <w:rFonts w:ascii="Times New Roman" w:eastAsia="Times New Roman" w:hAnsi="Times New Roman" w:cs="Times New Roman"/>
          <w:sz w:val="28"/>
          <w:szCs w:val="28"/>
        </w:rPr>
        <w:t>местного бюджета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>, муниципальных казенных и бюджетных учреждений.</w:t>
      </w:r>
    </w:p>
    <w:p w:rsidR="00B04D35" w:rsidRPr="00550F6F" w:rsidRDefault="00B04D35" w:rsidP="00550F6F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6F">
        <w:rPr>
          <w:rFonts w:ascii="Times New Roman" w:eastAsia="Times New Roman" w:hAnsi="Times New Roman" w:cs="Times New Roman"/>
          <w:sz w:val="28"/>
          <w:szCs w:val="28"/>
        </w:rPr>
        <w:t>В целях оценки эффективности деятельности муниципальных бюджетных и автономных учреждений финансовое управление ежеквартально проводит анализ информации по доходам и расходам муниципальных учреждений от иной приносящей доход деятельности для последующего определения дополнительных резервов в виде внебюджетных источников.</w:t>
      </w:r>
    </w:p>
    <w:p w:rsidR="00F37128" w:rsidRPr="00550F6F" w:rsidRDefault="00F37128" w:rsidP="00550F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 xml:space="preserve">Начиная с 11.03.2019, получатели бюджетных средств, муниципальные учреждения городского округа осуществляют расходование бюджетных средств с учетом казначейского сопровождения. </w:t>
      </w:r>
      <w:r w:rsidRPr="00550F6F">
        <w:rPr>
          <w:rFonts w:ascii="Times New Roman" w:hAnsi="Times New Roman" w:cs="Times New Roman"/>
          <w:sz w:val="28"/>
          <w:szCs w:val="28"/>
        </w:rPr>
        <w:lastRenderedPageBreak/>
        <w:t>В соответствии с распоряжением Правител</w:t>
      </w:r>
      <w:r w:rsidR="001016DD" w:rsidRPr="00550F6F">
        <w:rPr>
          <w:rFonts w:ascii="Times New Roman" w:hAnsi="Times New Roman" w:cs="Times New Roman"/>
          <w:sz w:val="28"/>
          <w:szCs w:val="28"/>
        </w:rPr>
        <w:t>ьства Российской Федерации от 12.02.2020 № 265</w:t>
      </w:r>
      <w:r w:rsidRPr="00550F6F">
        <w:rPr>
          <w:rFonts w:ascii="Times New Roman" w:hAnsi="Times New Roman" w:cs="Times New Roman"/>
          <w:sz w:val="28"/>
          <w:szCs w:val="28"/>
        </w:rPr>
        <w:t>-р «О</w:t>
      </w:r>
      <w:r w:rsidR="001016DD" w:rsidRPr="00550F6F">
        <w:rPr>
          <w:rFonts w:ascii="Times New Roman" w:hAnsi="Times New Roman" w:cs="Times New Roman"/>
          <w:sz w:val="28"/>
          <w:szCs w:val="28"/>
        </w:rPr>
        <w:t xml:space="preserve">б обеспечении казначейского сопровождения» в 2020 году </w:t>
      </w:r>
      <w:r w:rsidRPr="00550F6F">
        <w:rPr>
          <w:rFonts w:ascii="Times New Roman" w:hAnsi="Times New Roman" w:cs="Times New Roman"/>
          <w:sz w:val="28"/>
          <w:szCs w:val="28"/>
        </w:rPr>
        <w:t>казначейскому сопровождению подлежат:</w:t>
      </w:r>
    </w:p>
    <w:p w:rsidR="00F37128" w:rsidRPr="00550F6F" w:rsidRDefault="00F37128" w:rsidP="00550F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- расчеты по муниципальным контрактам (договорам) на поставку товаров, выполнение работ, оказание услу</w:t>
      </w:r>
      <w:r w:rsidR="00803278" w:rsidRPr="00550F6F">
        <w:rPr>
          <w:rFonts w:ascii="Times New Roman" w:hAnsi="Times New Roman" w:cs="Times New Roman"/>
          <w:sz w:val="28"/>
          <w:szCs w:val="28"/>
        </w:rPr>
        <w:t>г, заключаемым в 2020</w:t>
      </w:r>
      <w:r w:rsidRPr="00550F6F">
        <w:rPr>
          <w:rFonts w:ascii="Times New Roman" w:hAnsi="Times New Roman" w:cs="Times New Roman"/>
          <w:sz w:val="28"/>
          <w:szCs w:val="28"/>
        </w:rPr>
        <w:t xml:space="preserve"> году получателями средств местного бюджета на сумму 10000 тыс. рублей и более, источником финансового обеспечения которых являются средства местного бюджета;</w:t>
      </w:r>
    </w:p>
    <w:p w:rsidR="00F37128" w:rsidRPr="00550F6F" w:rsidRDefault="00F37128" w:rsidP="00550F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F6F">
        <w:rPr>
          <w:rFonts w:ascii="Times New Roman" w:hAnsi="Times New Roman" w:cs="Times New Roman"/>
          <w:sz w:val="28"/>
          <w:szCs w:val="28"/>
        </w:rPr>
        <w:t xml:space="preserve">- расчеты по контрактам (договорам) на поставку товаров, выполнение работ, оказание услуг, заключаемым в 2019 году муниципальными бюджетными и автономными учреждениями городского округа  на сумму 10000 тыс. рублей и более, источником финансового обеспечения которых являются субсидии, предоставляемые в соответствии с </w:t>
      </w:r>
      <w:hyperlink r:id="rId6" w:history="1">
        <w:r w:rsidRPr="00550F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вторым пункта 1 статьи 78.1</w:t>
        </w:r>
      </w:hyperlink>
      <w:r w:rsidRPr="00550F6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550F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78.2</w:t>
        </w:r>
      </w:hyperlink>
      <w:r w:rsidRPr="00550F6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  <w:proofErr w:type="gramEnd"/>
    </w:p>
    <w:p w:rsidR="00F37128" w:rsidRPr="00550F6F" w:rsidRDefault="00F37128" w:rsidP="00550F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 xml:space="preserve">- бюджетные инвестиции, предоставляемые юридическим лицам из местного бюджета по договорам о предоставлении бюджетных инвестиций в соответствии со </w:t>
      </w:r>
      <w:hyperlink r:id="rId8" w:history="1">
        <w:r w:rsidRPr="00550F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80</w:t>
        </w:r>
      </w:hyperlink>
      <w:r w:rsidRPr="00550F6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F37128" w:rsidRPr="00550F6F" w:rsidRDefault="00F37128" w:rsidP="00550F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F6F">
        <w:rPr>
          <w:rFonts w:ascii="Times New Roman" w:hAnsi="Times New Roman" w:cs="Times New Roman"/>
          <w:sz w:val="28"/>
          <w:szCs w:val="28"/>
        </w:rPr>
        <w:t>- расчеты по контрактам (договорам) на поставку товаров, выполнение работ, оказание услуг, заключаемых на сумму 300 тыс. рублей и более исполнителями и соисполнителями в рамках исполнения муниципальных контрактов (договоров), контрактов (договоров), договоров о предоставлении бюджетных инвестиций, источником финансового обеспечения которых являются средства местного бюджета.</w:t>
      </w:r>
    </w:p>
    <w:p w:rsidR="00F37128" w:rsidRPr="00550F6F" w:rsidRDefault="00F37128" w:rsidP="00550F6F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Финансовым управлением города для организации оперативной работы по внедрению казначейского сопровождения расчетов, организована работа по резервированию лицевых счетов </w:t>
      </w:r>
      <w:proofErr w:type="spellStart"/>
      <w:r w:rsidRPr="00550F6F">
        <w:rPr>
          <w:rFonts w:ascii="Times New Roman" w:eastAsia="Times New Roman" w:hAnsi="Times New Roman" w:cs="Times New Roman"/>
          <w:sz w:val="28"/>
          <w:szCs w:val="28"/>
        </w:rPr>
        <w:t>неучастников</w:t>
      </w:r>
      <w:proofErr w:type="spellEnd"/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 бюджетного процесса в Федеральном казначействе на основании обращений бюджетных учреждений</w:t>
      </w:r>
      <w:r w:rsidR="00101CF9" w:rsidRPr="00550F6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заключаемыми контрактами.</w:t>
      </w:r>
    </w:p>
    <w:p w:rsidR="00D24671" w:rsidRPr="00550F6F" w:rsidRDefault="00101CF9" w:rsidP="00550F6F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F6F">
        <w:rPr>
          <w:rFonts w:ascii="Times New Roman" w:hAnsi="Times New Roman" w:cs="Times New Roman"/>
          <w:sz w:val="28"/>
          <w:szCs w:val="28"/>
        </w:rPr>
        <w:t xml:space="preserve">В сфере совершенствования управления расходами бюджета на осуществление закупок для муниципальных нужд с 01.01.2017 в целях реализации части 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закон), в соответствии с </w:t>
      </w:r>
      <w:r w:rsidR="00803278" w:rsidRPr="00550F6F">
        <w:rPr>
          <w:rFonts w:ascii="Times New Roman" w:hAnsi="Times New Roman" w:cs="Times New Roman"/>
          <w:sz w:val="28"/>
          <w:szCs w:val="28"/>
        </w:rPr>
        <w:t>постановлением Правительства РФ от 06.08.2020 N 1193 (с учетом изменений от 07.11.2020) "О</w:t>
      </w:r>
      <w:proofErr w:type="gramEnd"/>
      <w:r w:rsidR="00803278" w:rsidRPr="00550F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3278" w:rsidRPr="00550F6F">
        <w:rPr>
          <w:rFonts w:ascii="Times New Roman" w:hAnsi="Times New Roman" w:cs="Times New Roman"/>
          <w:sz w:val="28"/>
          <w:szCs w:val="28"/>
        </w:rPr>
        <w:t>порядке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и об изменении и признании утратившими силу некоторых актов Правительства Российской Федерации" (вместе с "Правилами осуществления контроля, предусмотренного частями 5 и 5.1 статьи 99 Федерального закона "О контрактной системе в сфере закупок товаров</w:t>
      </w:r>
      <w:proofErr w:type="gramEnd"/>
      <w:r w:rsidR="00803278" w:rsidRPr="00550F6F">
        <w:rPr>
          <w:rFonts w:ascii="Times New Roman" w:hAnsi="Times New Roman" w:cs="Times New Roman"/>
          <w:sz w:val="28"/>
          <w:szCs w:val="28"/>
        </w:rPr>
        <w:t>, работ, услуг для обеспечения государственных и муниципальных нужд") продолжает осуществляться в 2020</w:t>
      </w:r>
      <w:r w:rsidR="00D24671" w:rsidRPr="00550F6F">
        <w:rPr>
          <w:rFonts w:ascii="Times New Roman" w:hAnsi="Times New Roman" w:cs="Times New Roman"/>
          <w:sz w:val="28"/>
          <w:szCs w:val="28"/>
        </w:rPr>
        <w:t xml:space="preserve"> году контроль за соответствием контролируемой информацией, содержащейся в объектах контроля, предусмотренных </w:t>
      </w:r>
      <w:hyperlink r:id="rId9" w:history="1">
        <w:r w:rsidR="00D24671" w:rsidRPr="00550F6F">
          <w:rPr>
            <w:rFonts w:ascii="Times New Roman" w:hAnsi="Times New Roman" w:cs="Times New Roman"/>
            <w:sz w:val="28"/>
            <w:szCs w:val="28"/>
          </w:rPr>
          <w:t>п. 4</w:t>
        </w:r>
      </w:hyperlink>
      <w:r w:rsidR="00D24671" w:rsidRPr="00550F6F">
        <w:rPr>
          <w:rFonts w:ascii="Times New Roman" w:hAnsi="Times New Roman" w:cs="Times New Roman"/>
          <w:sz w:val="28"/>
          <w:szCs w:val="28"/>
        </w:rPr>
        <w:t xml:space="preserve"> вышеуказанных Правил, информации </w:t>
      </w:r>
      <w:proofErr w:type="gramStart"/>
      <w:r w:rsidR="00D24671" w:rsidRPr="00550F6F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D24671" w:rsidRPr="00550F6F">
        <w:rPr>
          <w:rFonts w:ascii="Times New Roman" w:hAnsi="Times New Roman" w:cs="Times New Roman"/>
          <w:sz w:val="28"/>
          <w:szCs w:val="28"/>
        </w:rPr>
        <w:t>:</w:t>
      </w:r>
    </w:p>
    <w:p w:rsidR="00D24671" w:rsidRPr="00550F6F" w:rsidRDefault="00D24671" w:rsidP="00550F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F6F">
        <w:rPr>
          <w:rFonts w:ascii="Times New Roman" w:hAnsi="Times New Roman" w:cs="Times New Roman"/>
          <w:sz w:val="28"/>
          <w:szCs w:val="28"/>
        </w:rPr>
        <w:lastRenderedPageBreak/>
        <w:t>а) объеме финансового обеспечения для осуществления закупок товаров, работ, услуг для обеспечения муниципальных нужд (в том числе в целях реализации национальных и федеральных проектов) утвержденном и доведенном до заказчика;</w:t>
      </w:r>
      <w:proofErr w:type="gramEnd"/>
    </w:p>
    <w:p w:rsidR="00D24671" w:rsidRPr="00550F6F" w:rsidRDefault="00D24671" w:rsidP="00550F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F6F">
        <w:rPr>
          <w:rFonts w:ascii="Times New Roman" w:hAnsi="Times New Roman" w:cs="Times New Roman"/>
          <w:sz w:val="28"/>
          <w:szCs w:val="28"/>
        </w:rPr>
        <w:t>б) идентификационном коде закупки.</w:t>
      </w:r>
      <w:proofErr w:type="gramEnd"/>
    </w:p>
    <w:p w:rsidR="00D24671" w:rsidRPr="00550F6F" w:rsidRDefault="00D24671" w:rsidP="00550F6F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101CF9" w:rsidRPr="00550F6F" w:rsidRDefault="00101CF9" w:rsidP="00550F6F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2305" w:rsidRPr="00550F6F" w:rsidRDefault="00C838C1" w:rsidP="00550F6F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6F">
        <w:rPr>
          <w:rFonts w:ascii="Times New Roman" w:eastAsia="Times New Roman" w:hAnsi="Times New Roman" w:cs="Times New Roman"/>
          <w:sz w:val="28"/>
          <w:szCs w:val="28"/>
        </w:rPr>
        <w:t>Начальник финансового управления</w:t>
      </w:r>
    </w:p>
    <w:p w:rsidR="007D2305" w:rsidRPr="00550F6F" w:rsidRDefault="007D2305" w:rsidP="00550F6F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Анжеро-Судженского</w:t>
      </w:r>
    </w:p>
    <w:p w:rsidR="00C838C1" w:rsidRPr="00550F6F" w:rsidRDefault="007D2305" w:rsidP="00550F6F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6F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</w:t>
      </w:r>
      <w:r w:rsidRPr="00550F6F">
        <w:rPr>
          <w:rFonts w:ascii="Times New Roman" w:eastAsia="Times New Roman" w:hAnsi="Times New Roman" w:cs="Times New Roman"/>
          <w:sz w:val="28"/>
          <w:szCs w:val="28"/>
        </w:rPr>
        <w:tab/>
      </w:r>
      <w:r w:rsidRPr="00550F6F">
        <w:rPr>
          <w:rFonts w:ascii="Times New Roman" w:eastAsia="Times New Roman" w:hAnsi="Times New Roman" w:cs="Times New Roman"/>
          <w:sz w:val="28"/>
          <w:szCs w:val="28"/>
        </w:rPr>
        <w:tab/>
      </w:r>
      <w:r w:rsidRPr="00550F6F">
        <w:rPr>
          <w:rFonts w:ascii="Times New Roman" w:eastAsia="Times New Roman" w:hAnsi="Times New Roman" w:cs="Times New Roman"/>
          <w:sz w:val="28"/>
          <w:szCs w:val="28"/>
        </w:rPr>
        <w:tab/>
      </w:r>
      <w:r w:rsidRPr="00550F6F">
        <w:rPr>
          <w:rFonts w:ascii="Times New Roman" w:eastAsia="Times New Roman" w:hAnsi="Times New Roman" w:cs="Times New Roman"/>
          <w:sz w:val="28"/>
          <w:szCs w:val="28"/>
        </w:rPr>
        <w:tab/>
      </w:r>
      <w:r w:rsidRPr="00550F6F">
        <w:rPr>
          <w:rFonts w:ascii="Times New Roman" w:eastAsia="Times New Roman" w:hAnsi="Times New Roman" w:cs="Times New Roman"/>
          <w:sz w:val="28"/>
          <w:szCs w:val="28"/>
        </w:rPr>
        <w:tab/>
      </w:r>
      <w:r w:rsidR="00550F6F">
        <w:rPr>
          <w:rFonts w:ascii="Times New Roman" w:eastAsia="Times New Roman" w:hAnsi="Times New Roman" w:cs="Times New Roman"/>
          <w:sz w:val="28"/>
          <w:szCs w:val="28"/>
        </w:rPr>
        <w:tab/>
      </w:r>
      <w:r w:rsidR="00C838C1" w:rsidRPr="00550F6F">
        <w:rPr>
          <w:rFonts w:ascii="Times New Roman" w:eastAsia="Times New Roman" w:hAnsi="Times New Roman" w:cs="Times New Roman"/>
          <w:sz w:val="28"/>
          <w:szCs w:val="28"/>
        </w:rPr>
        <w:tab/>
        <w:t xml:space="preserve"> Е.Н. </w:t>
      </w:r>
      <w:proofErr w:type="spellStart"/>
      <w:r w:rsidR="00C838C1" w:rsidRPr="00550F6F">
        <w:rPr>
          <w:rFonts w:ascii="Times New Roman" w:eastAsia="Times New Roman" w:hAnsi="Times New Roman" w:cs="Times New Roman"/>
          <w:sz w:val="28"/>
          <w:szCs w:val="28"/>
        </w:rPr>
        <w:t>Зачиняева</w:t>
      </w:r>
      <w:proofErr w:type="spellEnd"/>
    </w:p>
    <w:p w:rsidR="00C838C1" w:rsidRPr="00ED60CC" w:rsidRDefault="00C838C1" w:rsidP="00B04D35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838C1" w:rsidRPr="00ED60CC" w:rsidSect="005151A0">
      <w:pgSz w:w="11906" w:h="16838" w:code="9"/>
      <w:pgMar w:top="340" w:right="1418" w:bottom="340" w:left="1418" w:header="403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D35"/>
    <w:rsid w:val="000038A4"/>
    <w:rsid w:val="00007067"/>
    <w:rsid w:val="000129B4"/>
    <w:rsid w:val="00017953"/>
    <w:rsid w:val="00021C3A"/>
    <w:rsid w:val="00032592"/>
    <w:rsid w:val="00034216"/>
    <w:rsid w:val="00057E70"/>
    <w:rsid w:val="0006520A"/>
    <w:rsid w:val="00067F09"/>
    <w:rsid w:val="000A24EA"/>
    <w:rsid w:val="000A5540"/>
    <w:rsid w:val="000A7167"/>
    <w:rsid w:val="000C00E6"/>
    <w:rsid w:val="000C025B"/>
    <w:rsid w:val="000D276C"/>
    <w:rsid w:val="000F4161"/>
    <w:rsid w:val="000F796C"/>
    <w:rsid w:val="001016DD"/>
    <w:rsid w:val="00101CF9"/>
    <w:rsid w:val="00103E34"/>
    <w:rsid w:val="00106708"/>
    <w:rsid w:val="001229C6"/>
    <w:rsid w:val="001300A7"/>
    <w:rsid w:val="001359EF"/>
    <w:rsid w:val="00140E10"/>
    <w:rsid w:val="00154F22"/>
    <w:rsid w:val="00160EEC"/>
    <w:rsid w:val="00167945"/>
    <w:rsid w:val="001807C1"/>
    <w:rsid w:val="00186981"/>
    <w:rsid w:val="0019447E"/>
    <w:rsid w:val="00196184"/>
    <w:rsid w:val="001C3454"/>
    <w:rsid w:val="001E0F4C"/>
    <w:rsid w:val="001E6B57"/>
    <w:rsid w:val="001E7CF2"/>
    <w:rsid w:val="001F5EA5"/>
    <w:rsid w:val="001F6A9A"/>
    <w:rsid w:val="002048F9"/>
    <w:rsid w:val="002131D0"/>
    <w:rsid w:val="00214D1E"/>
    <w:rsid w:val="0021689A"/>
    <w:rsid w:val="00220771"/>
    <w:rsid w:val="0023591C"/>
    <w:rsid w:val="00240F28"/>
    <w:rsid w:val="00243F36"/>
    <w:rsid w:val="00245DB3"/>
    <w:rsid w:val="002649C2"/>
    <w:rsid w:val="0027699E"/>
    <w:rsid w:val="002907B4"/>
    <w:rsid w:val="002A0144"/>
    <w:rsid w:val="002B5446"/>
    <w:rsid w:val="002C51AA"/>
    <w:rsid w:val="002C5764"/>
    <w:rsid w:val="002C7D5D"/>
    <w:rsid w:val="002E5C01"/>
    <w:rsid w:val="002F3E32"/>
    <w:rsid w:val="002F73C8"/>
    <w:rsid w:val="00301E9F"/>
    <w:rsid w:val="00310B9A"/>
    <w:rsid w:val="00313199"/>
    <w:rsid w:val="003158AB"/>
    <w:rsid w:val="00316445"/>
    <w:rsid w:val="00321159"/>
    <w:rsid w:val="00334AD9"/>
    <w:rsid w:val="003418CC"/>
    <w:rsid w:val="00341DA3"/>
    <w:rsid w:val="003619E1"/>
    <w:rsid w:val="00362CA2"/>
    <w:rsid w:val="00362CE0"/>
    <w:rsid w:val="00373770"/>
    <w:rsid w:val="003812FE"/>
    <w:rsid w:val="00381891"/>
    <w:rsid w:val="00381CE3"/>
    <w:rsid w:val="00397E41"/>
    <w:rsid w:val="003A2043"/>
    <w:rsid w:val="003A6A03"/>
    <w:rsid w:val="003B332D"/>
    <w:rsid w:val="003B3589"/>
    <w:rsid w:val="003C453E"/>
    <w:rsid w:val="003C4AC3"/>
    <w:rsid w:val="003D5261"/>
    <w:rsid w:val="003D627E"/>
    <w:rsid w:val="00416FB8"/>
    <w:rsid w:val="0042051B"/>
    <w:rsid w:val="0042090D"/>
    <w:rsid w:val="00435655"/>
    <w:rsid w:val="004447C5"/>
    <w:rsid w:val="00445C92"/>
    <w:rsid w:val="00454698"/>
    <w:rsid w:val="00467ED7"/>
    <w:rsid w:val="00473417"/>
    <w:rsid w:val="00473769"/>
    <w:rsid w:val="00473A4D"/>
    <w:rsid w:val="00474100"/>
    <w:rsid w:val="0048211E"/>
    <w:rsid w:val="00483C7B"/>
    <w:rsid w:val="00486FFB"/>
    <w:rsid w:val="004A171F"/>
    <w:rsid w:val="004B496B"/>
    <w:rsid w:val="004E0CC8"/>
    <w:rsid w:val="004F0FF3"/>
    <w:rsid w:val="004F1008"/>
    <w:rsid w:val="0051215E"/>
    <w:rsid w:val="005151A0"/>
    <w:rsid w:val="00520816"/>
    <w:rsid w:val="005241C9"/>
    <w:rsid w:val="00550F6F"/>
    <w:rsid w:val="00564DBC"/>
    <w:rsid w:val="00592D9F"/>
    <w:rsid w:val="0059455C"/>
    <w:rsid w:val="005A5594"/>
    <w:rsid w:val="005B57E9"/>
    <w:rsid w:val="005C2791"/>
    <w:rsid w:val="005C2AD0"/>
    <w:rsid w:val="0062369E"/>
    <w:rsid w:val="006237E9"/>
    <w:rsid w:val="006270D7"/>
    <w:rsid w:val="00633F2E"/>
    <w:rsid w:val="00640774"/>
    <w:rsid w:val="006579E0"/>
    <w:rsid w:val="00683AF7"/>
    <w:rsid w:val="00692EFD"/>
    <w:rsid w:val="0069451D"/>
    <w:rsid w:val="006A68F9"/>
    <w:rsid w:val="006C1247"/>
    <w:rsid w:val="006C4654"/>
    <w:rsid w:val="006C6353"/>
    <w:rsid w:val="006D1E8A"/>
    <w:rsid w:val="006D5FA7"/>
    <w:rsid w:val="006E61F9"/>
    <w:rsid w:val="007024ED"/>
    <w:rsid w:val="00704530"/>
    <w:rsid w:val="00706550"/>
    <w:rsid w:val="0071057B"/>
    <w:rsid w:val="007109B7"/>
    <w:rsid w:val="0071406B"/>
    <w:rsid w:val="00730409"/>
    <w:rsid w:val="007476ED"/>
    <w:rsid w:val="0075376E"/>
    <w:rsid w:val="007613BB"/>
    <w:rsid w:val="007654ED"/>
    <w:rsid w:val="007743E6"/>
    <w:rsid w:val="00791CAF"/>
    <w:rsid w:val="00796524"/>
    <w:rsid w:val="007A1E14"/>
    <w:rsid w:val="007A6737"/>
    <w:rsid w:val="007A6AD0"/>
    <w:rsid w:val="007A7D0F"/>
    <w:rsid w:val="007B0889"/>
    <w:rsid w:val="007B09BD"/>
    <w:rsid w:val="007D12E3"/>
    <w:rsid w:val="007D19E6"/>
    <w:rsid w:val="007D2305"/>
    <w:rsid w:val="007D75F0"/>
    <w:rsid w:val="007F6445"/>
    <w:rsid w:val="00800990"/>
    <w:rsid w:val="00800F27"/>
    <w:rsid w:val="00803278"/>
    <w:rsid w:val="00831B36"/>
    <w:rsid w:val="00833945"/>
    <w:rsid w:val="008404CE"/>
    <w:rsid w:val="00844216"/>
    <w:rsid w:val="008463A7"/>
    <w:rsid w:val="00846AC1"/>
    <w:rsid w:val="008534CE"/>
    <w:rsid w:val="008558E9"/>
    <w:rsid w:val="0087075B"/>
    <w:rsid w:val="008761C2"/>
    <w:rsid w:val="00883E2E"/>
    <w:rsid w:val="008930FC"/>
    <w:rsid w:val="008C1055"/>
    <w:rsid w:val="008D5502"/>
    <w:rsid w:val="008D7075"/>
    <w:rsid w:val="008E075E"/>
    <w:rsid w:val="008E2441"/>
    <w:rsid w:val="008F6D73"/>
    <w:rsid w:val="00916F7D"/>
    <w:rsid w:val="00934A44"/>
    <w:rsid w:val="009A0534"/>
    <w:rsid w:val="009A4F27"/>
    <w:rsid w:val="009B42B7"/>
    <w:rsid w:val="009C71D2"/>
    <w:rsid w:val="00A01C96"/>
    <w:rsid w:val="00A0750A"/>
    <w:rsid w:val="00A22DE7"/>
    <w:rsid w:val="00A230DF"/>
    <w:rsid w:val="00A23556"/>
    <w:rsid w:val="00A3136A"/>
    <w:rsid w:val="00A56E55"/>
    <w:rsid w:val="00A63DA7"/>
    <w:rsid w:val="00A67C04"/>
    <w:rsid w:val="00A71BB2"/>
    <w:rsid w:val="00A80A16"/>
    <w:rsid w:val="00AB03A7"/>
    <w:rsid w:val="00AB0CCA"/>
    <w:rsid w:val="00AB319E"/>
    <w:rsid w:val="00AC06C3"/>
    <w:rsid w:val="00AC51EE"/>
    <w:rsid w:val="00AC57E0"/>
    <w:rsid w:val="00AD1ADE"/>
    <w:rsid w:val="00AD2CEA"/>
    <w:rsid w:val="00AD6054"/>
    <w:rsid w:val="00B00C56"/>
    <w:rsid w:val="00B01C27"/>
    <w:rsid w:val="00B04D35"/>
    <w:rsid w:val="00B10BAF"/>
    <w:rsid w:val="00B33315"/>
    <w:rsid w:val="00B4314E"/>
    <w:rsid w:val="00B43E27"/>
    <w:rsid w:val="00B47F22"/>
    <w:rsid w:val="00B6057E"/>
    <w:rsid w:val="00B7102C"/>
    <w:rsid w:val="00B73F06"/>
    <w:rsid w:val="00B84BD0"/>
    <w:rsid w:val="00BB16F4"/>
    <w:rsid w:val="00BB756E"/>
    <w:rsid w:val="00BD7B10"/>
    <w:rsid w:val="00BE0732"/>
    <w:rsid w:val="00BE5966"/>
    <w:rsid w:val="00BF2C81"/>
    <w:rsid w:val="00C04641"/>
    <w:rsid w:val="00C07544"/>
    <w:rsid w:val="00C15AE1"/>
    <w:rsid w:val="00C305A9"/>
    <w:rsid w:val="00C350E9"/>
    <w:rsid w:val="00C36F18"/>
    <w:rsid w:val="00C45642"/>
    <w:rsid w:val="00C7667A"/>
    <w:rsid w:val="00C838C1"/>
    <w:rsid w:val="00C86853"/>
    <w:rsid w:val="00C92BC2"/>
    <w:rsid w:val="00C96FC3"/>
    <w:rsid w:val="00CA3FAA"/>
    <w:rsid w:val="00CA45F7"/>
    <w:rsid w:val="00CA51EE"/>
    <w:rsid w:val="00CA5C97"/>
    <w:rsid w:val="00CA64C3"/>
    <w:rsid w:val="00CB29E9"/>
    <w:rsid w:val="00CB756E"/>
    <w:rsid w:val="00CC1462"/>
    <w:rsid w:val="00CC5BA6"/>
    <w:rsid w:val="00CE73D8"/>
    <w:rsid w:val="00CF7094"/>
    <w:rsid w:val="00D02F03"/>
    <w:rsid w:val="00D23D07"/>
    <w:rsid w:val="00D24671"/>
    <w:rsid w:val="00D42A30"/>
    <w:rsid w:val="00D44960"/>
    <w:rsid w:val="00D454F6"/>
    <w:rsid w:val="00D50F09"/>
    <w:rsid w:val="00D5753F"/>
    <w:rsid w:val="00D725DE"/>
    <w:rsid w:val="00D80B10"/>
    <w:rsid w:val="00DA4212"/>
    <w:rsid w:val="00DB5560"/>
    <w:rsid w:val="00DC082B"/>
    <w:rsid w:val="00DC5303"/>
    <w:rsid w:val="00DD0976"/>
    <w:rsid w:val="00DD3E94"/>
    <w:rsid w:val="00DE00F5"/>
    <w:rsid w:val="00DF48D3"/>
    <w:rsid w:val="00DF4BA1"/>
    <w:rsid w:val="00DF68A6"/>
    <w:rsid w:val="00E00AD9"/>
    <w:rsid w:val="00E072AD"/>
    <w:rsid w:val="00E11B0A"/>
    <w:rsid w:val="00E12093"/>
    <w:rsid w:val="00E16B7F"/>
    <w:rsid w:val="00E32D65"/>
    <w:rsid w:val="00E44989"/>
    <w:rsid w:val="00E55761"/>
    <w:rsid w:val="00EA46C1"/>
    <w:rsid w:val="00EC71E5"/>
    <w:rsid w:val="00ED12CD"/>
    <w:rsid w:val="00ED191E"/>
    <w:rsid w:val="00ED60CC"/>
    <w:rsid w:val="00EE0F73"/>
    <w:rsid w:val="00EF6D32"/>
    <w:rsid w:val="00F04AD0"/>
    <w:rsid w:val="00F0538D"/>
    <w:rsid w:val="00F142AD"/>
    <w:rsid w:val="00F236AE"/>
    <w:rsid w:val="00F272D3"/>
    <w:rsid w:val="00F2782B"/>
    <w:rsid w:val="00F33F41"/>
    <w:rsid w:val="00F37128"/>
    <w:rsid w:val="00F416B1"/>
    <w:rsid w:val="00F44C1E"/>
    <w:rsid w:val="00F55815"/>
    <w:rsid w:val="00F66904"/>
    <w:rsid w:val="00F72A94"/>
    <w:rsid w:val="00F8474C"/>
    <w:rsid w:val="00F95E3E"/>
    <w:rsid w:val="00FA27DD"/>
    <w:rsid w:val="00FB0F25"/>
    <w:rsid w:val="00FB21EC"/>
    <w:rsid w:val="00FB29DF"/>
    <w:rsid w:val="00FB7319"/>
    <w:rsid w:val="00FC1C2A"/>
    <w:rsid w:val="00FC393B"/>
    <w:rsid w:val="00FD4ECD"/>
    <w:rsid w:val="00FD5729"/>
    <w:rsid w:val="00FE6ED1"/>
    <w:rsid w:val="00FE75FD"/>
    <w:rsid w:val="00FF07A0"/>
    <w:rsid w:val="00FF416B"/>
    <w:rsid w:val="00FF420F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4D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4D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j">
    <w:name w:val="_aj"/>
    <w:basedOn w:val="a"/>
    <w:rsid w:val="00B0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04D3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0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E44989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6">
    <w:name w:val="Основной текст с отступом Знак"/>
    <w:basedOn w:val="a0"/>
    <w:link w:val="a5"/>
    <w:rsid w:val="00E4498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link w:val="ConsPlusNormal0"/>
    <w:rsid w:val="004F100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21">
    <w:name w:val="Основной текст (2)_"/>
    <w:link w:val="22"/>
    <w:rsid w:val="00473A4D"/>
    <w:rPr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73A4D"/>
    <w:pPr>
      <w:widowControl w:val="0"/>
      <w:shd w:val="clear" w:color="auto" w:fill="FFFFFF"/>
      <w:spacing w:before="240" w:after="0" w:line="230" w:lineRule="exact"/>
    </w:pPr>
    <w:rPr>
      <w:sz w:val="19"/>
      <w:szCs w:val="19"/>
    </w:rPr>
  </w:style>
  <w:style w:type="character" w:customStyle="1" w:styleId="ConsPlusNormal0">
    <w:name w:val="ConsPlusNormal Знак"/>
    <w:link w:val="ConsPlusNormal"/>
    <w:locked/>
    <w:rsid w:val="008E2441"/>
    <w:rPr>
      <w:rFonts w:ascii="Arial" w:eastAsia="Times New Roman" w:hAnsi="Arial" w:cs="Arial"/>
      <w:sz w:val="20"/>
      <w:szCs w:val="20"/>
      <w:lang w:eastAsia="zh-CN"/>
    </w:rPr>
  </w:style>
  <w:style w:type="table" w:styleId="a7">
    <w:name w:val="Table Grid"/>
    <w:basedOn w:val="a1"/>
    <w:uiPriority w:val="39"/>
    <w:rsid w:val="008E24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CC5BA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C5BA6"/>
  </w:style>
  <w:style w:type="character" w:customStyle="1" w:styleId="3">
    <w:name w:val="Основной текст (3)_"/>
    <w:basedOn w:val="a0"/>
    <w:link w:val="30"/>
    <w:locked/>
    <w:rsid w:val="000F41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F4161"/>
    <w:pPr>
      <w:widowControl w:val="0"/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4D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4D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j">
    <w:name w:val="_aj"/>
    <w:basedOn w:val="a"/>
    <w:rsid w:val="00B0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04D3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0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E44989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6">
    <w:name w:val="Основной текст с отступом Знак"/>
    <w:basedOn w:val="a0"/>
    <w:link w:val="a5"/>
    <w:rsid w:val="00E4498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link w:val="ConsPlusNormal0"/>
    <w:rsid w:val="004F100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21">
    <w:name w:val="Основной текст (2)_"/>
    <w:link w:val="22"/>
    <w:rsid w:val="00473A4D"/>
    <w:rPr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73A4D"/>
    <w:pPr>
      <w:widowControl w:val="0"/>
      <w:shd w:val="clear" w:color="auto" w:fill="FFFFFF"/>
      <w:spacing w:before="240" w:after="0" w:line="230" w:lineRule="exact"/>
    </w:pPr>
    <w:rPr>
      <w:sz w:val="19"/>
      <w:szCs w:val="19"/>
    </w:rPr>
  </w:style>
  <w:style w:type="character" w:customStyle="1" w:styleId="ConsPlusNormal0">
    <w:name w:val="ConsPlusNormal Знак"/>
    <w:link w:val="ConsPlusNormal"/>
    <w:locked/>
    <w:rsid w:val="008E2441"/>
    <w:rPr>
      <w:rFonts w:ascii="Arial" w:eastAsia="Times New Roman" w:hAnsi="Arial" w:cs="Arial"/>
      <w:sz w:val="20"/>
      <w:szCs w:val="20"/>
      <w:lang w:eastAsia="zh-CN"/>
    </w:rPr>
  </w:style>
  <w:style w:type="table" w:styleId="a7">
    <w:name w:val="Table Grid"/>
    <w:basedOn w:val="a1"/>
    <w:uiPriority w:val="39"/>
    <w:rsid w:val="008E24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CC5BA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C5BA6"/>
  </w:style>
  <w:style w:type="character" w:customStyle="1" w:styleId="3">
    <w:name w:val="Основной текст (3)_"/>
    <w:basedOn w:val="a0"/>
    <w:link w:val="30"/>
    <w:locked/>
    <w:rsid w:val="000F41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F4161"/>
    <w:pPr>
      <w:widowControl w:val="0"/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91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6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4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4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09F09B929F4EBDE582CF2A44A4E5C1169DD3E6B72DBD7F71A2839A970ABD36E373C61C9489F2CABD42D2062C859545EE78E0FA8BFAB2436EG6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09F09B929F4EBDE582CF2A44A4E5C1169DD3E6B72DBD7F71A2839A970ABD36E373C61C9489F7CDBC42D2062C859545EE78E0FA8BFAB2436EG6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09F09B929F4EBDE582CF2A44A4E5C1169DD3E6B72DBD7F71A2839A970ABD36E373C61E958EF5C5EB18C20265D29159E666FFF895F96BGBD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E6E9593E95EC61CC62CF8CA0E57BDE0608A21F93EF3E4CF46591ED8C905EC04A3BA3F782B489C6A180A42B80618EA6EAFF83293ED8A3070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A59374EE5425E79D3A4FACD8C9DDF055E97424AA5A87A99CD57076D125DB1DCB4C8CD76C9931E95D51CB333F5FF480CA6A175A736D5E7CP5e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16</Pages>
  <Words>5701</Words>
  <Characters>32501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Orlova</dc:creator>
  <cp:lastModifiedBy>Tatyana Orlova</cp:lastModifiedBy>
  <cp:revision>36</cp:revision>
  <dcterms:created xsi:type="dcterms:W3CDTF">2020-03-23T04:19:00Z</dcterms:created>
  <dcterms:modified xsi:type="dcterms:W3CDTF">2021-04-20T03:09:00Z</dcterms:modified>
</cp:coreProperties>
</file>