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0" w:rsidRPr="002048F0" w:rsidRDefault="002048F0" w:rsidP="002048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8F0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о финансовых, экономических и социальных показателях развития малого и среднего предпринимательства </w:t>
      </w:r>
      <w:proofErr w:type="gramStart"/>
      <w:r w:rsidRPr="002048F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204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048F0">
        <w:rPr>
          <w:rFonts w:ascii="Times New Roman" w:hAnsi="Times New Roman" w:cs="Times New Roman"/>
          <w:b/>
          <w:bCs/>
          <w:sz w:val="24"/>
          <w:szCs w:val="24"/>
        </w:rPr>
        <w:t>Анжеро-Су</w:t>
      </w:r>
      <w:r>
        <w:rPr>
          <w:rFonts w:ascii="Times New Roman" w:hAnsi="Times New Roman" w:cs="Times New Roman"/>
          <w:b/>
          <w:bCs/>
          <w:sz w:val="24"/>
          <w:szCs w:val="24"/>
        </w:rPr>
        <w:t>дженском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 в 2021</w:t>
      </w:r>
      <w:r w:rsidRPr="002048F0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Анжеро-Судженского городского округа  от </w:t>
      </w:r>
      <w:smartTag w:uri="urn:schemas-microsoft-com:office:smarttags" w:element="date">
        <w:smartTagPr>
          <w:attr w:name="Year" w:val="2016"/>
          <w:attr w:name="Day" w:val="31"/>
          <w:attr w:name="Month" w:val="08"/>
          <w:attr w:name="ls" w:val="trans"/>
        </w:smartTagPr>
        <w:r w:rsidRPr="002048F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31.08.2016</w:t>
        </w:r>
      </w:smartTag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1178 «Развитие и поддержка субъектов малого и среднего предпринимательства Анжеро-Судженского городского округа на 2016-2023гг.» (в редакции постановления от 30.12.2021г. № 1591) на реализацию мероприятий муниципальной программы в 2021 году всего запланировано 129,0 тыс. рублей; исполнение за 2021 г. составило 128,3 тыс. руб. (99,4%)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Программой предусмотрено несколько направлений работы: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Мероприятие 1.Совершенствование действующего нормативного </w:t>
      </w:r>
      <w:proofErr w:type="spellStart"/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обеспеченияв</w:t>
      </w:r>
      <w:proofErr w:type="spellEnd"/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сфере поддержки предпринимательства.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мероприятие включает в себя такой целевой показатель: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</w:t>
      </w: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Количество изданных нормативно правовых актов»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2021 год запланировано издать 10 нормативно-правовых актов, фактически издано 8 правовых актов (Постановление от 08.02.2021 г. № 73 «Об утверждении перечня приоритетных видов общественных работ, организуемых на территории Анжеро-Судженского городского округа в 2021 году», Постановление от 30.08. 2021 </w:t>
      </w: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№ 944 «Об утверждении муниципальной программы «Развитие  и поддержка субъектов малого и среднего предпринимательства Анжеро-Судженского городского округа» на 2022-2024 годы», Постановление от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26.07.2021 г. № 758 «О внесении изменений в постановление администрации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Анжеро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Судженского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от 30.12.2020 №1145 «Об определении видов и объектов отбывания обязательных работ и мест отбывания исправительных работ как видов уголовных наказаний», Постановление от 01.07.2021 г. № 647 «Об утверждении Состава трехсторонней комиссии 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Анжеро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Судженского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по урегулированию социально - трудовых отношений», Постановление от 06.09.2021 г. № 973 «О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муниципальноймежведомственной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комиссии по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вопросам снижения неформальной занятости и легализации неофициальной заработной платы работников организаций, расположенных на территории Анжеро-Судженского городского округа», Постановление от 19.10. 2021 </w:t>
      </w: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г. № 1102 «Об утверждении муниципальной программы «Развитие  и поддержка субъектов малого и среднего предпринимательства Анжеро-Судженского городского округа» на 2016-2023 годы», Постановление от  30.12. 2021 </w:t>
      </w: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№ 1603 «О внесении изменений в  муниципальную программу «Развитие  и поддержка субъектов малого и среднего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предпринимательства Анжеро-Судженского городского округа» на 2022-2024 годы»,  Постановление от 30.12. 2021 г. № 1591 «О внесении изменений в  муниципальную программу «Развитие  и поддержка субъектов малого и среднего предпринимательства Анжеро-Судженского городского округа» на 2016-2023 годы»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исполнен на 80 %.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Мероприятие 2. Содействие формированию положительного имиджа предпринимательской деятельности. 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Мероприятие 2.1. «Популяризация предпринимательства»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данное</w:t>
      </w: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мероприятие запланировано 129,0 тыс. рублей, кассовое исполнение за 2021 год составило 128,3 тыс. рублей. (99,4%)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мероприятие включает в себя виды целевых показателей: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</w:t>
      </w: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«Количество награжденных представителей малого и среднего бизнеса»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запланировано награждение 70 субъектов малого и среднего предпринимательства. Фактически награждено 71 предприниматель: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от 15.01.2021 г. № 19-р «О награждении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Степанижовой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Л.В.»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01.03.2021 г. № 64-р «О награждении Дмитриевой Л.В.»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17.03.2021 г. № 91-р «О награждении Снегиревой Е.В.»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12.04.2021 г. № 134-р «О награждении за подготовку и проведение крещенского купания»- 10 предпринимателей;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29.04.2021 г. № 147-р «О награждении сотрудников ООО «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Астел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» - 3 человека;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25.05.2021 г. № 214-р «О награждении ко Дню российского предпринимательства» - 14 предпринимателей;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от 30.06.2021 г. № 279-р «О награждении в связи с празднованием 90-летия 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Анжеро-Судженского городского округа» - 5 предпринимателя;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06.07.2021 г. № 284-р</w:t>
      </w: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награждении в связи с празднованием 90-летия 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Анжеро-Судженского городского округа- 5 предпринимателей;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 от 08.09.2021 г. № 366-р</w:t>
      </w: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награждении руководителей организаций и индивидуальных предпринимателей- 11 предпринимателей;</w:t>
      </w:r>
    </w:p>
    <w:p w:rsidR="002048F0" w:rsidRPr="002048F0" w:rsidRDefault="002048F0" w:rsidP="002048F0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Совета предпринимателей от 20.12.2021 г. № 8 «Награждение за лучшее Новогоднее оформление объектов потребительского рынка- 2021» - 20 предпринимателей.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Показатель</w:t>
      </w: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«Количество публикаций в печатных изданиях»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на 2021 год– 50 статей, фактически размещено в печатных изданиях 47 статей. Показатель исполнен на 94%.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</w:t>
      </w: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2048F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Количество публикаций на телевидении и радио»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запланировано осветить на телевидении и радио о предпринимательской деятельности 50 репортажей, фактическое исполнение – 53 репортажей. Показатель исполнен.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Мероприятие 4.Совершенствование системы информационной, консультационной и организационной поддержки для субъектов малого и среднего предпринимательства.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Финансирование данного  мероприятия не предусмотрено.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Количество консультаций»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плану на 2021 год запланировано проконсультировать 180 субъектов МСП. Фактически было проконсультировано по различным вопросам 183 субъектов малого и среднего предпринимательства.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исполнен.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Количество организованных совещаний»</w:t>
      </w:r>
    </w:p>
    <w:p w:rsidR="002048F0" w:rsidRPr="002048F0" w:rsidRDefault="002048F0" w:rsidP="002048F0">
      <w:pPr>
        <w:tabs>
          <w:tab w:val="left" w:pos="13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запланировано провести 15 совещаний с участием субъектов малого и среднего предпринимательства. Фактически за 2021 год проведено 15 совещаний.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 исполнен на 100 %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Число субъектов малого предпринимательства»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Плановое значение показателя за 2021 год составляет 178,4 единиц на 10000 человек населения. Фактически за 2021 год на 10000 человек населения городского округа приходится 174,6 единиц субъектов малого предпринимательства. 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средних и малых предприятий на 01.01.2022 года по данным единого реестра МСП составляет 1258, предварительная среднегодовая численность населения на 01.01.2022-72030 человек. Данный показатель рассчитывается по формуле </w:t>
      </w:r>
      <m:oMath>
        <m:sSubSup>
          <m:sSubSupPr>
            <m:ctrlPr>
              <w:rPr>
                <w:rFonts w:ascii="Cambria Math" w:eastAsia="Times New Roman" w:hAnsi="Cambria Math" w:cs="Times New Roman"/>
                <w:bCs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10000</m:t>
            </m:r>
          </m:sub>
          <m:sup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смсп</m:t>
            </m:r>
          </m:sup>
        </m:sSubSup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0"/>
                <w:szCs w:val="20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0"/>
                    <w:szCs w:val="2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Ч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смсп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0"/>
                    <w:szCs w:val="2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Ч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нас</m:t>
                </m:r>
              </m:sup>
            </m:sSup>
          </m:den>
        </m:f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х</m:t>
        </m:r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 xml:space="preserve"> 10000</m:t>
        </m:r>
      </m:oMath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</w:t>
      </w:r>
      <m:oMath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174,6=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1258</m:t>
            </m:r>
          </m:num>
          <m:den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72030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*</m:t>
        </m:r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10000</m:t>
        </m:r>
      </m:oMath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048F0" w:rsidRPr="002048F0" w:rsidRDefault="002048F0" w:rsidP="002048F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Показатель не исполнен за счет отрицательной динамики количества субъектов малого и среднего предпринимательства в Кемеровской области, в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Анжеро-Судженского городского округа, так же  негативных демографических изменений численности населения. 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 1 июля 2020г. в Кемеровской област</w:t>
      </w:r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и-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Кузбассе стал доступен налоговый режим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самозанятости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 июля 2020 по декабрь 2021 года прекращают свою деятельность индивидуальные предприниматели, действующие в сфере услуг, и регистрируются как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самозанятые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 прошедший период на территории Анжеро-Судженского городского округа зарегистрировано 1300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самозанятых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же причинами снижения показателя, является тот факт, что с апреля 2020 года в связи с противодействием распространения новой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введением ограничительных мер, малые предприятия города приостановили свою деятельность, в связи с эти снизилась численность на малых предприятиях.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Показатель: 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организаций»</w:t>
      </w:r>
    </w:p>
    <w:p w:rsidR="002048F0" w:rsidRPr="002048F0" w:rsidRDefault="002048F0" w:rsidP="002048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запланировано 14,3 %.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Фактический целевой показатель за 2021 г. составил 14,1%.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Данный показатель рассчитывается по формуле</w:t>
      </w:r>
      <w:proofErr w:type="gramStart"/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Д</m:t>
            </m:r>
            <w:proofErr w:type="gramEnd"/>
          </m:e>
          <m:sub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мп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+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ср</m:t>
            </m:r>
          </m:sub>
          <m:sup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сспч</m:t>
            </m:r>
          </m:sup>
        </m:sSubSup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мп</m:t>
                </m:r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+</m:t>
                </m:r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ср</m:t>
                </m:r>
              </m:sub>
              <m:sup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ссп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ср</m:t>
                </m:r>
              </m:sub>
              <m:sup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ссп</m:t>
                </m:r>
              </m:sup>
            </m:sSubSup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мп</m:t>
                </m:r>
              </m:sub>
              <m:sup>
                <m:r>
                  <w:rPr>
                    <w:rFonts w:ascii="Cambria Math" w:eastAsia="Times New Roman" w:hAnsi="Times New Roman" w:cs="Times New Roman"/>
                    <w:sz w:val="20"/>
                    <w:szCs w:val="20"/>
                    <w:lang w:eastAsia="ru-RU"/>
                  </w:rPr>
                  <m:t>ссп</m:t>
                </m:r>
              </m:sup>
            </m:sSubSup>
          </m:den>
        </m:f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х</m:t>
        </m:r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 xml:space="preserve"> 100 %,</m:t>
        </m:r>
      </m:oMath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2021 год запланировано создать 175 новых рабочих мест. Фактически за 2021 год субъектами малого и среднего предпринимательства создано 199 новое рабочее место, из них индивидуальными предпринимателями – 190, малыми и средними -9, в том числе с разбивкой по отраслям:</w:t>
      </w:r>
    </w:p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4"/>
        <w:gridCol w:w="3808"/>
      </w:tblGrid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производство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транспорт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сельское хозяйство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-торговля, бытовое обслуживание населения, общепит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</w:tr>
      <w:tr w:rsidR="002048F0" w:rsidRPr="002048F0" w:rsidTr="00E007AC"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F0" w:rsidRPr="002048F0" w:rsidRDefault="002048F0" w:rsidP="002048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прочее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F0" w:rsidRPr="002048F0" w:rsidRDefault="002048F0" w:rsidP="0020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2048F0" w:rsidRPr="002048F0" w:rsidRDefault="002048F0" w:rsidP="002048F0">
      <w:pPr>
        <w:tabs>
          <w:tab w:val="left" w:pos="1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tabs>
          <w:tab w:val="left" w:pos="16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Показатель: «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Плановое значение показателя на 2021г. составляет 8,4% от численности населения. Фактический целевой показатель за 2021 год составляет 8,4% от численности населения;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Рассчитывается по формуле: </w:t>
      </w:r>
      <m:oMath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Д</m:t>
        </m:r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Пм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+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Пср</m:t>
            </m:r>
          </m:num>
          <m:den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Пкр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+</m:t>
            </m:r>
            <m:r>
              <w:rPr>
                <w:rFonts w:ascii="Cambria Math" w:eastAsia="Times New Roman" w:hAnsi="Times New Roman" w:cs="Times New Roman"/>
                <w:sz w:val="20"/>
                <w:szCs w:val="20"/>
                <w:lang w:eastAsia="ru-RU"/>
              </w:rPr>
              <m:t>Пм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*</m:t>
        </m:r>
        <m:r>
          <w:rPr>
            <w:rFonts w:ascii="Cambria Math" w:eastAsia="Times New Roman" w:hAnsi="Times New Roman" w:cs="Times New Roman"/>
            <w:sz w:val="20"/>
            <w:szCs w:val="20"/>
            <w:lang w:eastAsia="ru-RU"/>
          </w:rPr>
          <m:t>100%</m:t>
        </m:r>
      </m:oMath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; 5797/71578*100%= 8,1%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Показатель исполнен на 100%.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Мероприятие 6.Стимулирование инвестиционной деятельности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Показатель: </w:t>
      </w:r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«Общее количество субъектов инвестиционной деятельности (в </w:t>
      </w:r>
      <w:proofErr w:type="spellStart"/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т.ч</w:t>
      </w:r>
      <w:proofErr w:type="spellEnd"/>
      <w:r w:rsidRPr="002048F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резидентов ТОСЭР), осуществляющих деятельность на территории опережающего социально-экономического развития  «Анжеро-Судженск» и включенных в реестр резидентов, которые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Плановое значение показателя на 2021 год 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</m:t>
        </m:r>
      </m:oMath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2021 год общее количество субъектов инвестиционной деятельности (в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резидентов ТОСЭР), которые освобождены от уплаты земельного налога, в случае приобретения в собственность земельных участков на территории Анжеро-Судженского городского округа = 4.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Оценка эффективности муниципальной программы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Коэффициент эффективности Муниципальной программы рассчитывается по формуле: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94A4699" wp14:editId="61833CB0">
            <wp:extent cx="1303655" cy="340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индекс результативности мероприятий (подпрограмм);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S = </w:t>
      </w: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ф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 случае использования показателей, направленных на увеличение целевых значений;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S = </w:t>
      </w: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ф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 случае использования показателей, направленных на снижение целевых значений;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ф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достигнутый результат целевого значения показателя;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R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плановый результат целевого значения показателя;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M</w:t>
      </w:r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M</w:t>
      </w:r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 / N,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N - общее число показателей, характеризующих выполнение мероприятий (подпрограммы).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показателя: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0,9 &lt;= </w:t>
      </w: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э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&lt;= 1,1 - Качественная оценка мероприятий (подпрограмм): высокий уровень эффективности.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показателя: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0,8 &lt;= </w:t>
      </w: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э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&lt;= 0,9 - Качественная оценка мероприятий (подпрограмм): запланированный уровень эффективности.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показателя: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2048F0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э</w:t>
      </w:r>
      <w:proofErr w:type="spellEnd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&lt; 0,8 - Качественная оценка мероприятий (подпрограмм): низкий уровень эффективности.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1/11*10,86=1,0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129,0*1,0/128,3=1,0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Степень (объем)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 на основе проведения анализа реализации мероприятий. 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Из 11 целевых показателей выполнено 7. Показатель эффективности муниципальной программы составляет 1,0, что по результатам определения коэффициента эффективности Муниципальной программе предусматривает «высокий уровень эффективности» муниципальной программы «Развитие и поддержка субъектов малого и среднего предпринимательства Анжеро-Судженского городского округа на 2016-2023 гг.»</w:t>
      </w: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8F0" w:rsidRPr="002048F0" w:rsidRDefault="002048F0" w:rsidP="002048F0">
      <w:pPr>
        <w:tabs>
          <w:tab w:val="left" w:pos="166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управления</w:t>
      </w:r>
    </w:p>
    <w:p w:rsidR="002048F0" w:rsidRPr="002048F0" w:rsidRDefault="002048F0" w:rsidP="002048F0">
      <w:pPr>
        <w:tabs>
          <w:tab w:val="left" w:pos="166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промышленности</w:t>
      </w:r>
    </w:p>
    <w:p w:rsidR="002048F0" w:rsidRPr="002048F0" w:rsidRDefault="002048F0" w:rsidP="002048F0">
      <w:pPr>
        <w:tabs>
          <w:tab w:val="left" w:pos="166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предпринимательства                                                                                     И.В </w:t>
      </w:r>
      <w:proofErr w:type="spellStart"/>
      <w:r w:rsidRPr="002048F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Чемякин</w:t>
      </w:r>
      <w:proofErr w:type="spellEnd"/>
    </w:p>
    <w:p w:rsidR="00000E1A" w:rsidRDefault="00000E1A">
      <w:bookmarkStart w:id="0" w:name="_GoBack"/>
      <w:bookmarkEnd w:id="0"/>
    </w:p>
    <w:sectPr w:rsidR="0000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8"/>
    <w:rsid w:val="00000E1A"/>
    <w:rsid w:val="002048F0"/>
    <w:rsid w:val="0025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Трушлякова Г.З.</dc:creator>
  <cp:keywords/>
  <dc:description/>
  <cp:lastModifiedBy>Трушлякова Г.З.</cp:lastModifiedBy>
  <cp:revision>2</cp:revision>
  <dcterms:created xsi:type="dcterms:W3CDTF">2022-05-18T07:53:00Z</dcterms:created>
  <dcterms:modified xsi:type="dcterms:W3CDTF">2022-05-18T07:54:00Z</dcterms:modified>
</cp:coreProperties>
</file>