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wmf" ContentType="image/x-wmf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</w:rPr>
      </w:pPr>
      <w:r>
        <w:rPr>
          <w:b/>
        </w:rPr>
        <w:t>Пояснительная записка</w:t>
      </w:r>
    </w:p>
    <w:p>
      <w:pPr>
        <w:pStyle w:val="NoSpacing"/>
        <w:jc w:val="center"/>
        <w:rPr>
          <w:b/>
        </w:rPr>
      </w:pPr>
      <w:r>
        <w:rPr>
          <w:b/>
        </w:rPr>
        <w:t xml:space="preserve">о выполнении муниципальной программы </w:t>
      </w:r>
    </w:p>
    <w:p>
      <w:pPr>
        <w:pStyle w:val="NoSpacing"/>
        <w:jc w:val="center"/>
        <w:rPr>
          <w:b/>
        </w:rPr>
      </w:pPr>
      <w:r>
        <w:rPr>
          <w:b/>
        </w:rPr>
        <w:t xml:space="preserve">«Развитие и поддержка субъектов малого и среднего предпринимательства Анжеро-Судженского городского округа на 2022-2026 гг.» </w:t>
      </w:r>
    </w:p>
    <w:p>
      <w:pPr>
        <w:pStyle w:val="NoSpacing"/>
        <w:jc w:val="center"/>
        <w:rPr>
          <w:b/>
        </w:rPr>
      </w:pPr>
      <w:r>
        <w:rPr>
          <w:b/>
        </w:rPr>
        <w:t>за 2023 год.</w:t>
      </w:r>
    </w:p>
    <w:p>
      <w:pPr>
        <w:pStyle w:val="Normal"/>
        <w:ind w:firstLine="709"/>
        <w:jc w:val="both"/>
        <w:rPr/>
      </w:pPr>
      <w:r>
        <w:rPr/>
        <w:t>С целью 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 постановлением администрации Анжеро-Судженского городского округа утверждена муниципальная программа «Развитие и поддержка субъектов малого и среднего предпринимательства Анжеро-Судженского городского округа на 2022-2026гг.» (с учетом изменений от 29.08.2023г. № 798, от 27.12.2023г. №1213).</w:t>
      </w:r>
    </w:p>
    <w:p>
      <w:pPr>
        <w:pStyle w:val="Normal"/>
        <w:ind w:firstLine="709"/>
        <w:jc w:val="both"/>
        <w:rPr/>
      </w:pPr>
      <w:r>
        <w:rPr/>
        <w:t>На реализацию мероприятий муниципальной программы в 2023 году запланировано 129,00 тыс. рублей, кассовое исполнение за 2023 год составило 129,00 тыс. рублей (что составляет 100% от плана).</w:t>
      </w:r>
    </w:p>
    <w:p>
      <w:pPr>
        <w:pStyle w:val="Normal"/>
        <w:ind w:firstLine="709"/>
        <w:jc w:val="both"/>
        <w:rPr/>
      </w:pPr>
      <w:r>
        <w:rPr/>
        <w:t>Для решения поставленных целей муниципальная программа «Развитие и поддержка субъектов малого и среднего предпринимательства Анжеро-Судженского городского округа на 2022-2026гг.» включает следующие мероприятия: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</w:rPr>
        <w:t>Мероприятие 1.Совершенствование действующего нормативного обеспечения в сфере поддержки предпринимательства</w:t>
      </w:r>
      <w:r>
        <w:rPr>
          <w:b/>
          <w:i/>
        </w:rPr>
        <w:t>.</w:t>
      </w:r>
    </w:p>
    <w:p>
      <w:pPr>
        <w:pStyle w:val="Normal"/>
        <w:ind w:firstLine="709"/>
        <w:jc w:val="both"/>
        <w:rPr/>
      </w:pPr>
      <w:r>
        <w:rPr/>
        <w:t>Данное мероприятие включает в себя такой целевой показатель: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 xml:space="preserve">Количество изданных нормативно правовых актов. </w:t>
      </w:r>
    </w:p>
    <w:p>
      <w:pPr>
        <w:pStyle w:val="Normal"/>
        <w:ind w:firstLine="709"/>
        <w:jc w:val="both"/>
        <w:rPr/>
      </w:pPr>
      <w:r>
        <w:rPr/>
        <w:t>По плану за 2023 год издать 10 нормативно правовых актов, фактически за отчетный период издано 10 правовых актов направленных на развитие малого и среднего предпринимательства.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  <w:t>Мероприятие 2. Содействие формированию положительного имиджа предпринимательской деятельности.</w:t>
      </w:r>
    </w:p>
    <w:p>
      <w:pPr>
        <w:pStyle w:val="Normal"/>
        <w:ind w:firstLine="709"/>
        <w:jc w:val="both"/>
        <w:rPr/>
      </w:pPr>
      <w:r>
        <w:rPr/>
        <w:t xml:space="preserve">На реализацию данного мероприятия </w:t>
      </w:r>
      <w:r>
        <w:rPr/>
        <w:t>в 2023 году</w:t>
      </w:r>
      <w:r>
        <w:rPr/>
        <w:t xml:space="preserve"> запланировано 129,00 тыс. рублей, кассовое исполнение за 2023 год составило 129,00 тыс. рублей (100% от плана).</w:t>
      </w:r>
    </w:p>
    <w:p>
      <w:pPr>
        <w:pStyle w:val="Normal"/>
        <w:ind w:firstLine="709"/>
        <w:jc w:val="both"/>
        <w:rPr/>
      </w:pPr>
      <w:r>
        <w:rPr/>
        <w:t>Данное мероприятие включает в себя виды целевых показателей: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Количество награжденных представителей малого и среднего бизнеса</w:t>
      </w:r>
    </w:p>
    <w:p>
      <w:pPr>
        <w:pStyle w:val="Normal"/>
        <w:ind w:firstLine="709"/>
        <w:jc w:val="both"/>
        <w:rPr/>
      </w:pPr>
      <w:r>
        <w:rPr/>
        <w:t>За 2023 год запланировано награждение 70 субъектов малого и среднего предпринимательства. Фактически награждено 72 предпринимателя.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Количество публикаций в СМИ (печатные издания, телевидение)</w:t>
      </w:r>
    </w:p>
    <w:p>
      <w:pPr>
        <w:pStyle w:val="Normal"/>
        <w:ind w:firstLine="709"/>
        <w:jc w:val="both"/>
        <w:rPr/>
      </w:pPr>
      <w:r>
        <w:rPr/>
        <w:t xml:space="preserve">За 2023 год запланировано разместить 94 публикации о предпринимательской деятельности в СМИ (печатные издания, телевидение), фактически за отчетный период размещено 96 публикаций. 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</w:rPr>
        <w:t>Мероприятие 3. Кредитно-финансовая и имущественная поддержка субъектов малого и среднего предпринимательства</w:t>
      </w:r>
      <w:r>
        <w:rPr>
          <w:b/>
          <w:i/>
        </w:rPr>
        <w:t>.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Количество субъектов малого и среднего предпринимательства, получивших поддержку.</w:t>
      </w:r>
    </w:p>
    <w:p>
      <w:pPr>
        <w:pStyle w:val="Normal"/>
        <w:ind w:firstLine="709"/>
        <w:jc w:val="both"/>
        <w:rPr/>
      </w:pPr>
      <w:r>
        <w:rPr/>
        <w:t xml:space="preserve">За 2023 год кредитно-финансовая поддержка в виде льготных займов не оказывалась и не предоставлялась, </w:t>
      </w:r>
      <w:r>
        <w:rPr/>
        <w:t>в виду отсутствия обращений от субъектов малого и среднего предпринимательства.</w:t>
      </w:r>
      <w:r>
        <w:rPr/>
        <w:t xml:space="preserve"> Имущественная поддержка оказана субъекту инфраструктуры поддержки МСП «Муниципальному Некоммерческому Фонду Поддержки Предпринимательства г. Анжеро-Судженска» по адресу пер. Электрический, 1а.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  <w:t>Мероприятие 4. Совершенствование системы информационной, консультационной и организационной поддержки для субъектов малого и среднего предпринимательства.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  <w:t>Финансирование данного мероприятия не предусмотрено.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Количество консультаций</w:t>
      </w:r>
    </w:p>
    <w:p>
      <w:pPr>
        <w:pStyle w:val="Normal"/>
        <w:ind w:firstLine="709"/>
        <w:jc w:val="both"/>
        <w:rPr/>
      </w:pPr>
      <w:r>
        <w:rPr/>
        <w:t xml:space="preserve">За 2023 год запланировано проконсультировать 250 субъектов МСП. По факту за отчетный период проконсультировано по различным вопросам 265 субъектов малого и среднего предпринимательства. 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Количество организованных совещаний</w:t>
      </w:r>
    </w:p>
    <w:p>
      <w:pPr>
        <w:pStyle w:val="Normal"/>
        <w:ind w:firstLine="709"/>
        <w:jc w:val="both"/>
        <w:rPr/>
      </w:pPr>
      <w:r>
        <w:rPr/>
        <w:t>За 2023 год запланировано провести 15 совещаний с участием субъектов малого и среднего предпринимательства. По факту за отчетный период проведено 15 совещаний.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Число субъектов малого предпринимательства</w:t>
      </w:r>
    </w:p>
    <w:p>
      <w:pPr>
        <w:pStyle w:val="ListParagraph"/>
        <w:ind w:left="0" w:firstLine="709"/>
        <w:jc w:val="both"/>
        <w:rPr/>
      </w:pPr>
      <w:r>
        <w:rPr/>
        <w:t xml:space="preserve">Количество средних и малых предприятий на 01.01.2024г. составляет </w:t>
      </w:r>
      <w:r>
        <w:rPr>
          <w:shd w:fill="auto" w:val="clear"/>
        </w:rPr>
        <w:t>1175</w:t>
      </w:r>
      <w:r>
        <w:rPr/>
        <w:t>, численность населения на 01.01.2024г. - 69606 человек (оценочно).</w:t>
      </w:r>
    </w:p>
    <w:p>
      <w:pPr>
        <w:pStyle w:val="ListParagraph"/>
        <w:ind w:left="0" w:firstLine="709"/>
        <w:jc w:val="both"/>
        <w:rPr/>
      </w:pPr>
      <w:r>
        <w:rPr/>
        <w:t xml:space="preserve">Плановое значение показателя на 2023г. составляет 168,8 единиц на 10000 человек населения. Фактическое значение показателя за отчетный период составляет 168,8 единиц. </w:t>
      </w:r>
    </w:p>
    <w:p>
      <w:pPr>
        <w:pStyle w:val="ListParagraph"/>
        <w:ind w:left="0" w:firstLine="709"/>
        <w:jc w:val="both"/>
        <w:rPr>
          <w:b/>
          <w:i/>
          <w:i/>
        </w:rPr>
      </w:pPr>
      <w:r>
        <w:rPr>
          <w:b/>
          <w:i/>
        </w:rPr>
        <w:t>Доля среднесписочной численности работников (без внешних</w:t>
      </w:r>
      <w:bookmarkStart w:id="0" w:name="_GoBack"/>
      <w:bookmarkEnd w:id="0"/>
      <w:r>
        <w:rPr>
          <w:b/>
          <w:i/>
        </w:rPr>
        <w:t xml:space="preserve"> совместителей) малых предприятий в среднесписочной численности работников (без внешних совместителей) всех предприятий и организаций</w:t>
      </w:r>
    </w:p>
    <w:p>
      <w:pPr>
        <w:pStyle w:val="ListParagraph"/>
        <w:ind w:left="0" w:firstLine="709"/>
        <w:jc w:val="both"/>
        <w:rPr/>
      </w:pPr>
      <w:r>
        <w:rPr/>
        <w:t>Плановое значение показателя на 2023 год 13,8 %.</w:t>
      </w:r>
    </w:p>
    <w:p>
      <w:pPr>
        <w:pStyle w:val="NoSpacing"/>
        <w:ind w:firstLine="709"/>
        <w:jc w:val="both"/>
        <w:rPr/>
      </w:pPr>
      <w:r>
        <w:rPr/>
        <w:t>Фактическое значение показателя за отчетный период составляет 13,8%.</w:t>
      </w:r>
    </w:p>
    <w:p>
      <w:pPr>
        <w:pStyle w:val="Normal"/>
        <w:ind w:firstLine="709"/>
        <w:jc w:val="both"/>
        <w:rPr>
          <w:b/>
        </w:rPr>
      </w:pPr>
      <w:r>
        <w:rPr>
          <w:b/>
          <w:i/>
        </w:rPr>
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</w:t>
      </w:r>
    </w:p>
    <w:p>
      <w:pPr>
        <w:pStyle w:val="Normal"/>
        <w:tabs>
          <w:tab w:val="clear" w:pos="708"/>
          <w:tab w:val="left" w:pos="1660" w:leader="none"/>
        </w:tabs>
        <w:ind w:firstLine="709"/>
        <w:jc w:val="both"/>
        <w:rPr/>
      </w:pPr>
      <w:r>
        <w:rPr/>
        <w:t>За 2023 год запланировано создать 190 новых рабочих мест. Фактически за 2023 год субъектами малого и среднего предпринимательства создано 195 новых рабочих мест, из них индивидуальными предпринимателями – 186, малыми и средними - 9, в том числе с разбивкой по отраслям: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073"/>
        <w:gridCol w:w="3565"/>
      </w:tblGrid>
      <w:tr>
        <w:trPr/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 производство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</w:t>
            </w:r>
          </w:p>
        </w:tc>
      </w:tr>
      <w:tr>
        <w:trPr/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 строительство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</w:tc>
      </w:tr>
      <w:tr>
        <w:trPr/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 транспорт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22</w:t>
            </w:r>
          </w:p>
        </w:tc>
      </w:tr>
      <w:tr>
        <w:trPr/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 сельское хозяйство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</w:tr>
      <w:tr>
        <w:trPr/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-торговля, бытовое обслуживание населения, общепит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101</w:t>
            </w:r>
          </w:p>
        </w:tc>
      </w:tr>
      <w:tr>
        <w:trPr>
          <w:trHeight w:val="333" w:hRule="atLeast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 прочее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46</w:t>
            </w:r>
          </w:p>
        </w:tc>
      </w:tr>
    </w:tbl>
    <w:p>
      <w:pPr>
        <w:pStyle w:val="Normal"/>
        <w:tabs>
          <w:tab w:val="clear" w:pos="708"/>
          <w:tab w:val="left" w:pos="1660" w:leader="none"/>
        </w:tabs>
        <w:ind w:firstLine="709"/>
        <w:jc w:val="both"/>
        <w:rPr>
          <w:b/>
          <w:i/>
          <w:i/>
        </w:rPr>
      </w:pPr>
      <w:r>
        <w:rPr>
          <w:b/>
          <w:i/>
        </w:rPr>
        <w:t>Увеличение численности занятых в сфере малого и среднего предпринимательства, включая индивидуальных предпринимателей, % от численности населения</w:t>
      </w:r>
    </w:p>
    <w:p>
      <w:pPr>
        <w:pStyle w:val="Normal"/>
        <w:ind w:firstLine="709"/>
        <w:jc w:val="both"/>
        <w:rPr/>
      </w:pPr>
      <w:r>
        <w:rPr/>
        <w:t>Плановое значение показателя на 2023г. составляет 9,0% от численности населения. Фактический целевой показатель за отчетный период составляет 9,0% от численности населения.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ind w:firstLine="709"/>
        <w:jc w:val="both"/>
        <w:rPr>
          <w:b/>
          <w:i/>
          <w:i/>
        </w:rPr>
      </w:pPr>
      <w:r>
        <w:rPr>
          <w:b/>
        </w:rPr>
        <w:t>Мероприятие 6. Стимулирование инвестиционной деятельности</w:t>
      </w:r>
      <w:r>
        <w:rPr>
          <w:b/>
          <w:i/>
        </w:rPr>
        <w:t>.</w:t>
      </w:r>
    </w:p>
    <w:p>
      <w:pPr>
        <w:pStyle w:val="Normal"/>
        <w:widowControl w:val="false"/>
        <w:ind w:left="0" w:right="0" w:firstLine="709"/>
        <w:rPr>
          <w:rFonts w:ascii="Liberation Serif;Times New Roman" w:hAnsi="Liberation Serif;Times New Roman" w:cs="Liberation Serif;Times New Roman"/>
          <w:color w:val="000000"/>
        </w:rPr>
      </w:pPr>
      <w:r>
        <w:rPr>
          <w:rFonts w:cs="Liberation Serif;Times New Roman" w:ascii="Liberation Serif;Times New Roman" w:hAnsi="Liberation Serif;Times New Roman"/>
          <w:b/>
          <w:i/>
          <w:color w:val="000000"/>
        </w:rPr>
        <w:t>Общее количество резидентов ТОСЭР, осуществляющих деятельность на территории опережающего социально-экономического развития «Анжеро-Судженск» и включенных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ind w:firstLine="709"/>
        <w:jc w:val="both"/>
        <w:rPr/>
      </w:pPr>
      <w:r>
        <w:rPr/>
        <w:t>На 2023 год плановое значение показателя 2 резидента ТОСЭР, осуществляющих деятельность на территории опережающего социально-экономического развития «Анжеро-Судженск» и включенных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ind w:firstLine="709"/>
        <w:jc w:val="both"/>
        <w:rPr/>
      </w:pPr>
      <w:r>
        <w:rPr/>
        <w:t xml:space="preserve">По факту один резидент ТОСЭР осуществляющий деятельность на территории опережающего социально-экономического развития «Анжеро-Судженск» и включенный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 (резидент ТОСЭР - ООО «АверсЛесИнвест). </w:t>
      </w:r>
    </w:p>
    <w:p>
      <w:pPr>
        <w:pStyle w:val="2"/>
        <w:shd w:val="clear" w:color="auto" w:fill="FFFFFF"/>
        <w:spacing w:beforeAutospacing="0" w:before="0" w:afterAutospacing="0" w:after="0"/>
        <w:ind w:firstLine="709"/>
        <w:rPr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 xml:space="preserve">В настоящее время продолжается работа по привлечению потенциальных резидентов ТОСЭР. </w:t>
      </w:r>
      <w:r>
        <w:rPr>
          <w:b w:val="false"/>
          <w:bCs w:val="false"/>
          <w:color w:val="000000"/>
          <w:sz w:val="24"/>
          <w:szCs w:val="24"/>
        </w:rPr>
        <w:t xml:space="preserve">Документы для присвоения статуса резидента ТОСЭР ООО «Ресурс» направлены в Министерство экономического развития Кузбасса </w:t>
      </w:r>
      <w:r>
        <w:rPr>
          <w:b w:val="false"/>
          <w:bCs w:val="false"/>
          <w:color w:val="000000"/>
          <w:sz w:val="24"/>
          <w:szCs w:val="24"/>
        </w:rPr>
        <w:t>на согласование.</w:t>
      </w:r>
    </w:p>
    <w:p>
      <w:pPr>
        <w:pStyle w:val="Normal"/>
        <w:widowControl w:val="false"/>
        <w:ind w:left="0" w:right="0" w:firstLine="709"/>
        <w:rPr>
          <w:rFonts w:ascii="Liberation Serif;Times New Roman" w:hAnsi="Liberation Serif;Times New Roman" w:cs="Liberation Serif;Times New Roman"/>
          <w:b/>
          <w:bCs/>
          <w:color w:val="000000"/>
        </w:rPr>
      </w:pPr>
      <w:r>
        <w:rPr>
          <w:rFonts w:cs="Liberation Serif;Times New Roman" w:ascii="Liberation Serif;Times New Roman" w:hAnsi="Liberation Serif;Times New Roman"/>
          <w:b/>
          <w:bCs/>
          <w:color w:val="000000"/>
          <w:sz w:val="24"/>
          <w:szCs w:val="24"/>
        </w:rPr>
        <w:t>Общее количество субъектов инвестиционной деятельности осуществляющих деятельность на территории опережающего социально-экономического развития «Анжеро-Судженск»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ind w:firstLine="709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На 2023 год плановое значение показателя 3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4"/>
          <w:szCs w:val="24"/>
        </w:rPr>
        <w:t>субъекта инвестиционной деятельности осуществляющих деятельность на территории опережающего социально-экономического развития «Анжеро-Судженск»,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округа. Фактическое значение показателя 3 субъекта  инвестиционной деятельности.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ind w:firstLine="709"/>
        <w:jc w:val="both"/>
        <w:rPr>
          <w:rFonts w:ascii="Liberation Serif;Times New Roman" w:hAnsi="Liberation Serif;Times New Roman" w:cs="Liberation Serif;Times New Roman"/>
          <w:color w:val="00000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jc w:val="both"/>
        <w:rPr/>
      </w:pPr>
      <w:r>
        <w:rPr/>
        <w:t>Начальник управления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jc w:val="both"/>
        <w:rPr/>
      </w:pPr>
      <w:r>
        <w:rPr/>
        <w:t xml:space="preserve">экономического развития, 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jc w:val="both"/>
        <w:rPr/>
      </w:pPr>
      <w:r>
        <w:rPr/>
        <w:t>промышленности и предпринимательства                                                                  И.В Чемякин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  <w:t>Садыкова Н.А.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  <w:t>6-44-75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Отчет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об использовании ассигнований местного бюджета на реализацию муниципальной программы</w:t>
      </w:r>
    </w:p>
    <w:p>
      <w:pPr>
        <w:pStyle w:val="Normal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«Развитие и поддержка субъектов малого и среднего предпринимательства Анжеро-Судженского городского округа на 2022-2026 годы</w:t>
      </w:r>
      <w:bookmarkStart w:id="1" w:name="Par227"/>
      <w:bookmarkEnd w:id="1"/>
      <w:r>
        <w:rPr>
          <w:sz w:val="20"/>
          <w:szCs w:val="20"/>
          <w:u w:val="single"/>
        </w:rPr>
        <w:t>»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муниципальной программы)</w:t>
      </w:r>
    </w:p>
    <w:p>
      <w:pPr>
        <w:pStyle w:val="ConsPlusNormal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за январь – декабрь 2023 года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(ежеквартально нарастающим итогом с начала года)</w:t>
      </w:r>
    </w:p>
    <w:p>
      <w:pPr>
        <w:pStyle w:val="Normal"/>
        <w:widowControl w:val="false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4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606"/>
        <w:gridCol w:w="2268"/>
        <w:gridCol w:w="1844"/>
        <w:gridCol w:w="1699"/>
      </w:tblGrid>
      <w:tr>
        <w:trPr>
          <w:trHeight w:val="227" w:hRule="atLeast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подпрограммы, основного мероприятия /регионального проекта/ведомственного проекта,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Расходы (тыс. руб.)</w:t>
            </w:r>
          </w:p>
        </w:tc>
      </w:tr>
      <w:tr>
        <w:trPr/>
        <w:tc>
          <w:tcPr>
            <w:tcW w:w="36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бюджетная роспись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2023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исполнение за январь - декабрь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года</w:t>
            </w:r>
          </w:p>
        </w:tc>
      </w:tr>
      <w:tr>
        <w:trPr>
          <w:trHeight w:val="267" w:hRule="atLeast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/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и поддержка субъектов малого и среднего предпринимательства Анжеро-Судженского городского округа»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</w:tr>
      <w:tr>
        <w:trPr>
          <w:trHeight w:val="657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</w:tr>
      <w:tr>
        <w:trPr/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действующего нормативного обеспечения в сфере поддержки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Содействие формированию положительного имиджа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</w:tr>
      <w:tr>
        <w:trPr>
          <w:trHeight w:val="479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</w:tr>
      <w:tr>
        <w:trPr>
          <w:trHeight w:val="172" w:hRule="atLeast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Кредитно-финансовая и имущественная поддержка субъектов малого и среднего предпринимательства.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>
        <w:trPr>
          <w:trHeight w:val="349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>
        <w:trPr>
          <w:trHeight w:val="188" w:hRule="atLeast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и развитие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875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 иные не запрещенные законодательством источники: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системы информационной, консультационной, имущественной и организационной поддержки для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926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5" w:hRule="atLeast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субъектов малого и среднего предпринимательства.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67" w:hRule="atLeast"/>
        </w:trPr>
        <w:tc>
          <w:tcPr>
            <w:tcW w:w="36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инвестиционной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6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Начальник управления</w:t>
      </w:r>
    </w:p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экономического развития, </w:t>
      </w:r>
    </w:p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промышленности и предпринимательства                                                                                                 И.В. Чемякин</w:t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Отчет 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о исполненных значениях целевых показателей (индикаторов) муниципальной программы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«Развитие и поддержка субъектов малого и среднего предпринимательства Анжеро-Судженского городского округа» на 2023 год</w:t>
      </w:r>
    </w:p>
    <w:p>
      <w:pPr>
        <w:pStyle w:val="Normal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муниципальной программы)</w:t>
      </w:r>
    </w:p>
    <w:p>
      <w:pPr>
        <w:pStyle w:val="ConsPlusNormal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за январь – декабрь 2023 года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(ежеквартально нарастающим итогом с начала года)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065" w:type="dxa"/>
        <w:jc w:val="lef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552"/>
        <w:gridCol w:w="2130"/>
        <w:gridCol w:w="846"/>
        <w:gridCol w:w="713"/>
        <w:gridCol w:w="850"/>
        <w:gridCol w:w="851"/>
        <w:gridCol w:w="850"/>
        <w:gridCol w:w="1271"/>
      </w:tblGrid>
      <w:tr>
        <w:trPr>
          <w:trHeight w:val="230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подпрограммы, основного мероприятия/регионального проекта/ведомственного проекта, мероприятия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 измерения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2023г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на январь-декабрь</w:t>
            </w:r>
          </w:p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за январь – декабрь</w:t>
            </w:r>
          </w:p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Факт за январь – декабрь</w:t>
            </w:r>
          </w:p>
          <w:p>
            <w:pPr>
              <w:pStyle w:val="ConsPlus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2022 г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Обоснование отклонений значений целевых показателей (индикаторов) (при наличии)</w:t>
            </w:r>
          </w:p>
        </w:tc>
      </w:tr>
      <w:tr>
        <w:trPr/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674" w:hRule="atLeast"/>
        </w:trPr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действующего нормативного обеспечения в сфере поддержки предпринимательства</w:t>
            </w:r>
          </w:p>
        </w:tc>
        <w:tc>
          <w:tcPr>
            <w:tcW w:w="21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изданных нормативно правовых актов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trHeight w:val="20" w:hRule="atLeast"/>
        </w:trPr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Содействие формированию положительного имиджа предпринимательской деятельности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награжденных представителей малого и среднего бизнеса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103%</w:t>
            </w:r>
          </w:p>
        </w:tc>
      </w:tr>
      <w:tr>
        <w:trPr>
          <w:trHeight w:val="945" w:hRule="atLeast"/>
        </w:trPr>
        <w:tc>
          <w:tcPr>
            <w:tcW w:w="255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в СМИ (печатные издания, телевидение)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102%</w:t>
            </w:r>
          </w:p>
        </w:tc>
      </w:tr>
      <w:tr>
        <w:trPr>
          <w:trHeight w:val="3059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Кредитно-финансовая и имущественная поддержка субъектов малого и среднего предпринимательства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и развитие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получивших поддержку.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виду отсутствия обращений от субъектов малого и среднего предпринимательств</w:t>
            </w:r>
            <w:r>
              <w:rPr>
                <w:sz w:val="20"/>
                <w:szCs w:val="20"/>
              </w:rPr>
              <w:t>а</w:t>
            </w:r>
          </w:p>
        </w:tc>
      </w:tr>
      <w:tr>
        <w:trPr>
          <w:trHeight w:val="437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системы информационной, консультационной, имущественной и организационной поддержки для субъектов малого и среднего предпринимательства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консультаций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260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106%</w:t>
            </w:r>
          </w:p>
        </w:tc>
      </w:tr>
      <w:tr>
        <w:trPr/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организованных совещаний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субъектов малого предпринимательства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 на 10000 человек населения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177,</w:t>
            </w: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100%</w:t>
            </w:r>
          </w:p>
        </w:tc>
      </w:tr>
      <w:tr>
        <w:trPr/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14,1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trHeight w:val="2068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103%</w:t>
            </w:r>
          </w:p>
        </w:tc>
      </w:tr>
      <w:tr>
        <w:trPr>
          <w:trHeight w:val="2200" w:hRule="atLeast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численности занятых в сфере малого и среднего предпринимательства, включая индивидуальных предпринимателей, % от численности населения.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trHeight w:val="1102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получивших поддержку.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6" w:hRule="atLeast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инвестиционной деятельности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;Times New Roman" w:hAnsi="Liberation Serif;Times New Roman" w:eastAsia="Times New Roman" w:cs="Liberation Serif;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Общее количество резидентов ТОСЭР, осуществляющих деятельность на территории опережающего социально-экономического развития «Анжеро-Судженск» и включенных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>≥</w:t>
            </w:r>
            <w:r>
              <w:rPr>
                <w:rFonts w:eastAsia="Liberation Serif;Times New Roman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>≥</w:t>
            </w:r>
            <w:r>
              <w:rPr>
                <w:rFonts w:eastAsia="Liberation Serif;Times New Roman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shd w:val="clear" w:color="auto" w:fill="FFFFFF"/>
              <w:spacing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50%</w:t>
            </w:r>
          </w:p>
          <w:p>
            <w:pPr>
              <w:pStyle w:val="2"/>
              <w:shd w:val="clear" w:color="auto" w:fill="FFFFFF"/>
              <w:spacing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В настоящее время продолжается работа по привлечению потенциальных резидентов ТОСЭР. Документы для присвоения статуса резидента ТОСЭР ООО «Ресурс» направлены в Министерство экономического развития Кузбасса на согласование</w:t>
            </w:r>
          </w:p>
        </w:tc>
      </w:tr>
      <w:tr>
        <w:trPr>
          <w:trHeight w:val="20" w:hRule="atLeast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Общее количество субъектов инвестиционной деятельности осуществляющих деятельность на территории опережающего социально-экономического развития «Анжеро-Судженск»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</w:tabs>
        <w:jc w:val="both"/>
        <w:rPr/>
      </w:pPr>
      <w:r>
        <w:rPr/>
        <w:t>Начальник управления</w:t>
      </w:r>
    </w:p>
    <w:p>
      <w:pPr>
        <w:pStyle w:val="Normal"/>
        <w:tabs>
          <w:tab w:val="clear" w:pos="708"/>
          <w:tab w:val="left" w:pos="1660" w:leader="none"/>
        </w:tabs>
        <w:jc w:val="both"/>
        <w:rPr/>
      </w:pPr>
      <w:r>
        <w:rPr/>
        <w:t>экономического развития,</w:t>
      </w:r>
    </w:p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/>
        <w:t>промышленности и предпринимательства                                                                 И.В. Чемякин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Оценка эффективности муниципальной программы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Коэффициент эффективности Муниципальной программы рассчитывается по формуле: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303655" cy="34036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  <w:lang w:eastAsia="ru-RU"/>
        </w:rPr>
        <w:t>,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где: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I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 xml:space="preserve"> - индекс результативности мероприятий (подпрограмм);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S - соотношение достигнутых и плановых результатов целевых значений показателей. Соотношение рассчитывается по формуле: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S = 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ф</w:t>
      </w:r>
      <w:r>
        <w:rPr>
          <w:rFonts w:eastAsia="Times New Roman" w:cs="Times New Roman"/>
          <w:sz w:val="28"/>
          <w:szCs w:val="28"/>
          <w:lang w:eastAsia="ru-RU"/>
        </w:rPr>
        <w:t xml:space="preserve"> / 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 xml:space="preserve"> - в случае использования показателей, направленных на увеличение целевых значений;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S = 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 xml:space="preserve"> / 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ф</w:t>
      </w:r>
      <w:r>
        <w:rPr>
          <w:rFonts w:eastAsia="Times New Roman" w:cs="Times New Roman"/>
          <w:sz w:val="28"/>
          <w:szCs w:val="28"/>
          <w:lang w:eastAsia="ru-RU"/>
        </w:rPr>
        <w:t xml:space="preserve"> - в случае использования показателей, направленных на снижение целевых значений;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ф</w:t>
      </w:r>
      <w:r>
        <w:rPr>
          <w:rFonts w:eastAsia="Times New Roman" w:cs="Times New Roman"/>
          <w:sz w:val="28"/>
          <w:szCs w:val="28"/>
          <w:lang w:eastAsia="ru-RU"/>
        </w:rPr>
        <w:t xml:space="preserve"> - достигнутый результат целевого значения показателя;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 xml:space="preserve"> - плановый результат целевого значения показателя;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M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n</w:t>
      </w:r>
      <w:r>
        <w:rPr>
          <w:rFonts w:eastAsia="Times New Roman" w:cs="Times New Roman"/>
          <w:sz w:val="28"/>
          <w:szCs w:val="28"/>
          <w:lang w:eastAsia="ru-RU"/>
        </w:rPr>
        <w:t xml:space="preserve"> - весовое значение показателя (вес показателя), характеризующего мероприятие (подпрограмму). Вес показателя рассчитывается по формуле: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M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n</w:t>
      </w:r>
      <w:r>
        <w:rPr>
          <w:rFonts w:eastAsia="Times New Roman" w:cs="Times New Roman"/>
          <w:sz w:val="28"/>
          <w:szCs w:val="28"/>
          <w:lang w:eastAsia="ru-RU"/>
        </w:rPr>
        <w:t xml:space="preserve"> = 1 / N,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где: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N - общее число показателей, характеризующих выполнение мероприятий (подпрограммы).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По результатам определения коэффициента эффективности Муниципальной программе присваиваются следующие критерии оценок: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Значение показателя: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0,9 &lt;= I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э</w:t>
      </w:r>
      <w:r>
        <w:rPr>
          <w:rFonts w:eastAsia="Times New Roman" w:cs="Times New Roman"/>
          <w:sz w:val="28"/>
          <w:szCs w:val="28"/>
          <w:lang w:eastAsia="ru-RU"/>
        </w:rPr>
        <w:t>&lt;= 1,1 - Качественная оценка мероприятий (подпрограмм): высокий уровень эффективности.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Значение показателя: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0,8 &lt;= I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э</w:t>
      </w:r>
      <w:r>
        <w:rPr>
          <w:rFonts w:eastAsia="Times New Roman" w:cs="Times New Roman"/>
          <w:sz w:val="28"/>
          <w:szCs w:val="28"/>
          <w:lang w:eastAsia="ru-RU"/>
        </w:rPr>
        <w:t>&lt;= 0,9 - Качественная оценка мероприятий (подпрограмм): запланированный уровень эффективности.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Значение показателя: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I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э</w:t>
      </w:r>
      <w:r>
        <w:rPr>
          <w:rFonts w:eastAsia="Times New Roman" w:cs="Times New Roman"/>
          <w:sz w:val="28"/>
          <w:szCs w:val="28"/>
          <w:lang w:eastAsia="ru-RU"/>
        </w:rPr>
        <w:t>&lt; 0,8 - Качественная оценка мероприятий (подпрограмм): низкий уровень эффективности.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1/1</w:t>
      </w:r>
      <w:r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>*10,</w:t>
      </w:r>
      <w:r>
        <w:rPr>
          <w:rFonts w:eastAsia="Times New Roman" w:cs="Times New Roman"/>
          <w:sz w:val="28"/>
          <w:szCs w:val="28"/>
          <w:lang w:eastAsia="ru-RU"/>
        </w:rPr>
        <w:t>8</w:t>
      </w:r>
      <w:r>
        <w:rPr>
          <w:rFonts w:eastAsia="Times New Roman" w:cs="Times New Roman"/>
          <w:sz w:val="28"/>
          <w:szCs w:val="28"/>
          <w:lang w:eastAsia="ru-RU"/>
        </w:rPr>
        <w:t xml:space="preserve"> =</w:t>
      </w:r>
      <w:r>
        <w:rPr>
          <w:rFonts w:eastAsia="Times New Roman" w:cs="Times New Roman"/>
          <w:sz w:val="28"/>
          <w:szCs w:val="28"/>
          <w:lang w:eastAsia="ru-RU"/>
        </w:rPr>
        <w:t>0,9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129,0*</w:t>
      </w:r>
      <w:r>
        <w:rPr>
          <w:rFonts w:eastAsia="Times New Roman" w:cs="Times New Roman"/>
          <w:sz w:val="28"/>
          <w:szCs w:val="28"/>
          <w:lang w:eastAsia="ru-RU"/>
        </w:rPr>
        <w:t>0,9/</w:t>
      </w:r>
      <w:r>
        <w:rPr>
          <w:rFonts w:eastAsia="Times New Roman" w:cs="Times New Roman"/>
          <w:sz w:val="28"/>
          <w:szCs w:val="28"/>
          <w:lang w:eastAsia="ru-RU"/>
        </w:rPr>
        <w:t>129,0 =</w:t>
      </w:r>
      <w:r>
        <w:rPr>
          <w:rFonts w:eastAsia="Times New Roman" w:cs="Times New Roman"/>
          <w:sz w:val="28"/>
          <w:szCs w:val="28"/>
          <w:lang w:eastAsia="ru-RU"/>
        </w:rPr>
        <w:t>0,9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Степень (объем) выполнения мероприятий муниципальной программы в рассматриваемом периоде определяется отношением суммы условных индексов по всем показателям к сумме максимальных значений условных индексов по всем показателям на основе проведения анализа реализации мероприятий. 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Из 1</w:t>
      </w:r>
      <w:r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 xml:space="preserve"> целевых показателей выполнено </w:t>
      </w:r>
      <w:r>
        <w:rPr>
          <w:rFonts w:eastAsia="Times New Roman" w:cs="Times New Roman"/>
          <w:sz w:val="28"/>
          <w:szCs w:val="28"/>
          <w:lang w:eastAsia="ru-RU"/>
        </w:rPr>
        <w:t>10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sz w:val="28"/>
          <w:szCs w:val="28"/>
          <w:lang w:eastAsia="ru-RU"/>
        </w:rPr>
        <w:t>Коэффициент</w:t>
      </w:r>
      <w:r>
        <w:rPr>
          <w:rFonts w:eastAsia="Times New Roman" w:cs="Times New Roman"/>
          <w:sz w:val="28"/>
          <w:szCs w:val="28"/>
          <w:lang w:eastAsia="ru-RU"/>
        </w:rPr>
        <w:t xml:space="preserve"> эффективности муниципальной программы составляет </w:t>
      </w:r>
      <w:r>
        <w:rPr>
          <w:rFonts w:eastAsia="Times New Roman" w:cs="Times New Roman"/>
          <w:sz w:val="28"/>
          <w:szCs w:val="28"/>
          <w:lang w:eastAsia="ru-RU"/>
        </w:rPr>
        <w:t>0,9.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>о результатам определения коэффициента эффективности Муниципальной программе «Развитие и поддержка субъектов малого и среднего предпринимательства Анжеро-Судженского городского округа на 2022-202</w:t>
      </w:r>
      <w:r>
        <w:rPr>
          <w:rFonts w:eastAsia="Times New Roman" w:cs="Times New Roman"/>
          <w:sz w:val="28"/>
          <w:szCs w:val="28"/>
          <w:lang w:eastAsia="ru-RU"/>
        </w:rPr>
        <w:t>6</w:t>
      </w:r>
      <w:r>
        <w:rPr>
          <w:rFonts w:eastAsia="Times New Roman" w:cs="Times New Roman"/>
          <w:sz w:val="28"/>
          <w:szCs w:val="28"/>
          <w:lang w:eastAsia="ru-RU"/>
        </w:rPr>
        <w:t xml:space="preserve"> гг.» </w:t>
      </w:r>
      <w:r>
        <w:rPr>
          <w:rFonts w:eastAsia="Times New Roman" w:cs="Times New Roman"/>
          <w:sz w:val="28"/>
          <w:szCs w:val="28"/>
          <w:lang w:eastAsia="ru-RU"/>
        </w:rPr>
        <w:t>присваивается</w:t>
      </w:r>
      <w:r>
        <w:rPr>
          <w:rFonts w:eastAsia="Times New Roman" w:cs="Times New Roman"/>
          <w:sz w:val="28"/>
          <w:szCs w:val="28"/>
          <w:lang w:eastAsia="ru-RU"/>
        </w:rPr>
        <w:t xml:space="preserve"> «высокий уровень эффективности».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42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369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c95caa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a3369f"/>
    <w:rPr>
      <w:rFonts w:ascii="Times New Roman" w:hAnsi="Times New Roman" w:eastAsia="Times New Roman" w:cs="Times New Roman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semiHidden/>
    <w:qFormat/>
    <w:rsid w:val="00ab21b5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11e9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904a1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4904a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4904a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c95caa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3"/>
    <w:uiPriority w:val="99"/>
    <w:rsid w:val="00a3369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ab21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4"/>
    <w:semiHidden/>
    <w:unhideWhenUsed/>
    <w:qFormat/>
    <w:rsid w:val="00ab21b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27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f2700"/>
    <w:pPr>
      <w:spacing w:before="0" w:after="0"/>
      <w:ind w:left="720" w:hanging="0"/>
      <w:contextualSpacing/>
    </w:pPr>
    <w:rPr/>
  </w:style>
  <w:style w:type="paragraph" w:styleId="Style25">
    <w:name w:val="Footer"/>
    <w:basedOn w:val="Normal"/>
    <w:link w:val="Style15"/>
    <w:uiPriority w:val="99"/>
    <w:unhideWhenUsed/>
    <w:rsid w:val="00c11e9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6"/>
    <w:uiPriority w:val="99"/>
    <w:semiHidden/>
    <w:unhideWhenUsed/>
    <w:qFormat/>
    <w:rsid w:val="004904a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4904a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D4CE-122A-4C5E-9F47-14FFFD75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Application>LibreOffice/7.5.2.1$Linux_X86_64 LibreOffice_project/50$Build-1</Application>
  <AppVersion>15.0000</AppVersion>
  <Pages>8</Pages>
  <Words>1750</Words>
  <Characters>13343</Characters>
  <CharactersWithSpaces>15023</CharactersWithSpaces>
  <Paragraphs>312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2022-04-19T08:06:00Z</dcterms:created>
  <dc:creator>Трушлякова Г.З.</dc:creator>
  <dc:description/>
  <dc:language>ru-RU</dc:language>
  <cp:lastModifiedBy/>
  <cp:lastPrinted>2024-01-18T11:09:00Z</cp:lastPrinted>
  <dcterms:modified xsi:type="dcterms:W3CDTF">2024-01-18T11:50:05Z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